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134E4" w14:textId="40477363" w:rsidR="007234F9" w:rsidRPr="007234F9" w:rsidRDefault="007234F9" w:rsidP="00BF632A">
      <w:pPr>
        <w:jc w:val="both"/>
        <w:rPr>
          <w:rFonts w:cstheme="minorHAnsi"/>
          <w:b/>
          <w:bCs/>
          <w:color w:val="4472C4" w:themeColor="accent1"/>
          <w:sz w:val="28"/>
          <w:szCs w:val="28"/>
        </w:rPr>
      </w:pPr>
      <w:bookmarkStart w:id="0" w:name="_GoBack"/>
      <w:bookmarkEnd w:id="0"/>
    </w:p>
    <w:p w14:paraId="1F96ED17" w14:textId="77777777" w:rsidR="007234F9" w:rsidRDefault="007234F9" w:rsidP="00BF632A">
      <w:pPr>
        <w:jc w:val="both"/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7C125229" w14:textId="77777777" w:rsidR="007234F9" w:rsidRDefault="007234F9" w:rsidP="00BF632A">
      <w:pPr>
        <w:jc w:val="both"/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7418F535" w14:textId="77777777" w:rsidR="00041DC5" w:rsidRPr="00041DC5" w:rsidRDefault="007234F9" w:rsidP="00AD3A71">
      <w:pPr>
        <w:jc w:val="center"/>
        <w:rPr>
          <w:rFonts w:cstheme="minorHAnsi"/>
          <w:b/>
          <w:bCs/>
          <w:color w:val="4472C4" w:themeColor="accent1"/>
          <w:sz w:val="52"/>
          <w:szCs w:val="52"/>
        </w:rPr>
      </w:pPr>
      <w:r w:rsidRPr="00041DC5">
        <w:rPr>
          <w:rFonts w:cstheme="minorHAnsi"/>
          <w:b/>
          <w:bCs/>
          <w:color w:val="4472C4" w:themeColor="accent1"/>
          <w:sz w:val="52"/>
          <w:szCs w:val="52"/>
        </w:rPr>
        <w:t xml:space="preserve">ПРОЕКТ </w:t>
      </w:r>
    </w:p>
    <w:p w14:paraId="65E6E1AF" w14:textId="51B8A6C6" w:rsidR="007234F9" w:rsidRPr="00BE334C" w:rsidRDefault="007234F9" w:rsidP="00AD3A71">
      <w:pPr>
        <w:jc w:val="center"/>
        <w:rPr>
          <w:rFonts w:cstheme="minorHAnsi"/>
          <w:b/>
          <w:bCs/>
          <w:color w:val="4472C4" w:themeColor="accent1"/>
          <w:sz w:val="28"/>
          <w:szCs w:val="28"/>
        </w:rPr>
      </w:pPr>
      <w:r w:rsidRPr="00041DC5">
        <w:rPr>
          <w:rFonts w:cstheme="minorHAnsi"/>
          <w:b/>
          <w:bCs/>
          <w:i/>
          <w:iCs/>
          <w:color w:val="4472C4" w:themeColor="accent1"/>
          <w:sz w:val="36"/>
          <w:szCs w:val="36"/>
        </w:rPr>
        <w:t>Усъвършенстване на механизма за гражданско участие при формулирането и провеждането на политиката в областта на висшето образование в България</w:t>
      </w:r>
    </w:p>
    <w:p w14:paraId="656CDAE7" w14:textId="77777777" w:rsidR="007234F9" w:rsidRPr="00BE334C" w:rsidRDefault="007234F9" w:rsidP="00BF632A">
      <w:pPr>
        <w:jc w:val="both"/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73B91CC8" w14:textId="77777777" w:rsidR="00041DC5" w:rsidRPr="00BE334C" w:rsidRDefault="00041DC5" w:rsidP="00BF632A">
      <w:pPr>
        <w:jc w:val="both"/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561F560A" w14:textId="77777777" w:rsidR="007234F9" w:rsidRPr="00BE334C" w:rsidRDefault="007234F9" w:rsidP="00BF632A">
      <w:pPr>
        <w:jc w:val="both"/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7BC08D55" w14:textId="77777777" w:rsidR="007234F9" w:rsidRPr="00041DC5" w:rsidRDefault="000C01F5" w:rsidP="00AD3A71">
      <w:pPr>
        <w:jc w:val="center"/>
        <w:rPr>
          <w:rFonts w:cstheme="minorHAnsi"/>
          <w:b/>
          <w:bCs/>
          <w:color w:val="2F5496" w:themeColor="accent1" w:themeShade="BF"/>
          <w:sz w:val="52"/>
          <w:szCs w:val="52"/>
        </w:rPr>
      </w:pPr>
      <w:r w:rsidRPr="00041DC5">
        <w:rPr>
          <w:rFonts w:cstheme="minorHAnsi"/>
          <w:b/>
          <w:bCs/>
          <w:i/>
          <w:iCs/>
          <w:caps/>
          <w:color w:val="2F5496" w:themeColor="accent1" w:themeShade="BF"/>
          <w:sz w:val="52"/>
          <w:szCs w:val="52"/>
        </w:rPr>
        <w:t>Добри европейски практики ЗА ВРЪЗКИТЕ БИЗНЕС- УНИВЕРСИТЕТИ- ПОЛИТИКО-ПРАВЕЩИ ОРГАНИ</w:t>
      </w:r>
    </w:p>
    <w:p w14:paraId="04EB8228" w14:textId="77777777" w:rsidR="00041DC5" w:rsidRPr="00041DC5" w:rsidRDefault="00041DC5" w:rsidP="00041DC5">
      <w:pPr>
        <w:jc w:val="center"/>
        <w:rPr>
          <w:rFonts w:cstheme="minorHAnsi"/>
          <w:b/>
          <w:bCs/>
          <w:i/>
          <w:iCs/>
          <w:caps/>
          <w:color w:val="4472C4" w:themeColor="accent1"/>
          <w:sz w:val="44"/>
          <w:szCs w:val="44"/>
        </w:rPr>
      </w:pPr>
      <w:r w:rsidRPr="00041DC5">
        <w:rPr>
          <w:b/>
          <w:i/>
          <w:color w:val="4472C4" w:themeColor="accent1"/>
          <w:sz w:val="44"/>
          <w:szCs w:val="44"/>
        </w:rPr>
        <w:t>Предложение на екипа на проекта</w:t>
      </w:r>
    </w:p>
    <w:p w14:paraId="24FAF2C9" w14:textId="77777777" w:rsidR="007234F9" w:rsidRPr="00BE334C" w:rsidRDefault="007234F9" w:rsidP="00BF632A">
      <w:pPr>
        <w:jc w:val="both"/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4A40DB11" w14:textId="77777777" w:rsidR="007234F9" w:rsidRPr="00BE334C" w:rsidRDefault="007234F9" w:rsidP="00BF632A">
      <w:pPr>
        <w:jc w:val="both"/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3520F10B" w14:textId="77777777" w:rsidR="007234F9" w:rsidRPr="00BE334C" w:rsidRDefault="007234F9" w:rsidP="00BF632A">
      <w:pPr>
        <w:jc w:val="both"/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76A0114B" w14:textId="77777777" w:rsidR="00CD3734" w:rsidRDefault="00A209B5">
      <w:pPr>
        <w:pStyle w:val="TOCHeading"/>
        <w:rPr>
          <w:rFonts w:cstheme="minorHAnsi"/>
          <w:b/>
          <w:bCs/>
          <w:i/>
          <w:iCs/>
          <w:sz w:val="36"/>
          <w:szCs w:val="36"/>
        </w:rPr>
      </w:pPr>
      <w:r>
        <w:rPr>
          <w:rFonts w:cstheme="minorHAnsi"/>
          <w:b/>
          <w:bCs/>
          <w:i/>
          <w:iCs/>
          <w:sz w:val="36"/>
          <w:szCs w:val="36"/>
        </w:rPr>
        <w:br w:type="column"/>
      </w:r>
    </w:p>
    <w:sdt>
      <w:sdtPr>
        <w:id w:val="-39860461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DA7D243" w14:textId="3798A934" w:rsidR="00CD3734" w:rsidRPr="00CD3734" w:rsidRDefault="00CD3734" w:rsidP="00CD3734">
          <w:pPr>
            <w:jc w:val="both"/>
            <w:rPr>
              <w:b/>
              <w:bCs/>
              <w:color w:val="2F5496" w:themeColor="accent1" w:themeShade="BF"/>
              <w:sz w:val="36"/>
              <w:szCs w:val="36"/>
            </w:rPr>
          </w:pPr>
          <w:r w:rsidRPr="00CD3734">
            <w:rPr>
              <w:b/>
              <w:bCs/>
              <w:color w:val="2F5496" w:themeColor="accent1" w:themeShade="BF"/>
              <w:sz w:val="36"/>
              <w:szCs w:val="36"/>
            </w:rPr>
            <w:t>Съдържание</w:t>
          </w:r>
        </w:p>
        <w:p w14:paraId="3BFE600A" w14:textId="52600EE7" w:rsidR="00CD3734" w:rsidRDefault="00CD3734">
          <w:pPr>
            <w:pStyle w:val="TOC1"/>
            <w:tabs>
              <w:tab w:val="right" w:leader="dot" w:pos="9344"/>
            </w:tabs>
            <w:rPr>
              <w:rFonts w:eastAsiaTheme="minorEastAsia"/>
              <w:noProof/>
              <w:sz w:val="22"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6808055" w:history="1">
            <w:r w:rsidRPr="002D4BB5">
              <w:rPr>
                <w:rStyle w:val="Hyperlink"/>
                <w:noProof/>
              </w:rPr>
              <w:t>1.</w:t>
            </w:r>
            <w:r w:rsidRPr="002D4BB5">
              <w:rPr>
                <w:rStyle w:val="Hyperlink"/>
                <w:i/>
                <w:iCs/>
                <w:noProof/>
              </w:rPr>
              <w:t xml:space="preserve"> </w:t>
            </w:r>
            <w:r w:rsidRPr="002D4BB5">
              <w:rPr>
                <w:rStyle w:val="Hyperlink"/>
                <w:noProof/>
              </w:rPr>
              <w:t xml:space="preserve">Програмата </w:t>
            </w:r>
            <w:r w:rsidRPr="002D4BB5">
              <w:rPr>
                <w:rStyle w:val="Hyperlink"/>
                <w:noProof/>
                <w:lang w:val="en-US"/>
              </w:rPr>
              <w:t>AIM</w:t>
            </w:r>
            <w:r w:rsidRPr="002D4BB5">
              <w:rPr>
                <w:rStyle w:val="Hyperlink"/>
                <w:noProof/>
                <w:lang w:val="en-GB"/>
              </w:rPr>
              <w:t>Day</w:t>
            </w:r>
            <w:r w:rsidRPr="002D4BB5">
              <w:rPr>
                <w:rStyle w:val="Hyperlink"/>
                <w:noProof/>
              </w:rPr>
              <w:t xml:space="preserve">  (Швеция)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_Toc26808055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63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B73D5F" w14:textId="0DBEFB88" w:rsidR="00CD3734" w:rsidRDefault="002E58F2">
          <w:pPr>
            <w:pStyle w:val="TOC1"/>
            <w:tabs>
              <w:tab w:val="right" w:leader="dot" w:pos="9344"/>
            </w:tabs>
            <w:rPr>
              <w:rFonts w:eastAsiaTheme="minorEastAsia"/>
              <w:noProof/>
              <w:sz w:val="22"/>
              <w:lang w:val="en-GB" w:eastAsia="en-GB"/>
            </w:rPr>
          </w:pPr>
          <w:hyperlink w:anchor="_Toc26808056" w:history="1">
            <w:r w:rsidR="00CD3734" w:rsidRPr="002D4BB5">
              <w:rPr>
                <w:rStyle w:val="Hyperlink"/>
                <w:noProof/>
              </w:rPr>
              <w:t>2. Бизнес-университетска асоциация (България)</w:t>
            </w:r>
            <w:r w:rsidR="00CD3734">
              <w:rPr>
                <w:noProof/>
                <w:webHidden/>
              </w:rPr>
              <w:tab/>
            </w:r>
            <w:r w:rsidR="00CD3734">
              <w:rPr>
                <w:noProof/>
                <w:webHidden/>
              </w:rPr>
              <w:fldChar w:fldCharType="begin"/>
            </w:r>
            <w:r w:rsidR="00CD3734">
              <w:rPr>
                <w:noProof/>
                <w:webHidden/>
              </w:rPr>
              <w:instrText xml:space="preserve"> PAGEREF _Toc26808056 \h </w:instrText>
            </w:r>
            <w:r w:rsidR="00CD3734">
              <w:rPr>
                <w:noProof/>
                <w:webHidden/>
              </w:rPr>
            </w:r>
            <w:r w:rsidR="00CD3734">
              <w:rPr>
                <w:noProof/>
                <w:webHidden/>
              </w:rPr>
              <w:fldChar w:fldCharType="separate"/>
            </w:r>
            <w:r w:rsidR="0057163D">
              <w:rPr>
                <w:noProof/>
                <w:webHidden/>
              </w:rPr>
              <w:t>4</w:t>
            </w:r>
            <w:r w:rsidR="00CD3734">
              <w:rPr>
                <w:noProof/>
                <w:webHidden/>
              </w:rPr>
              <w:fldChar w:fldCharType="end"/>
            </w:r>
          </w:hyperlink>
        </w:p>
        <w:p w14:paraId="18BA21E8" w14:textId="6F3BFD76" w:rsidR="00CD3734" w:rsidRDefault="002E58F2">
          <w:pPr>
            <w:pStyle w:val="TOC1"/>
            <w:tabs>
              <w:tab w:val="right" w:leader="dot" w:pos="9344"/>
            </w:tabs>
            <w:rPr>
              <w:rFonts w:eastAsiaTheme="minorEastAsia"/>
              <w:noProof/>
              <w:sz w:val="22"/>
              <w:lang w:val="en-GB" w:eastAsia="en-GB"/>
            </w:rPr>
          </w:pPr>
          <w:hyperlink w:anchor="_Toc26808057" w:history="1">
            <w:r w:rsidR="00CD3734" w:rsidRPr="002D4BB5">
              <w:rPr>
                <w:rStyle w:val="Hyperlink"/>
                <w:noProof/>
                <w:lang w:val="en-GB"/>
              </w:rPr>
              <w:t xml:space="preserve">3. </w:t>
            </w:r>
            <w:r w:rsidR="00CD3734" w:rsidRPr="002D4BB5">
              <w:rPr>
                <w:rStyle w:val="Hyperlink"/>
                <w:noProof/>
              </w:rPr>
              <w:t>Алианс</w:t>
            </w:r>
            <w:r w:rsidR="00CD3734" w:rsidRPr="002D4BB5">
              <w:rPr>
                <w:rStyle w:val="Hyperlink"/>
                <w:noProof/>
                <w:lang w:val="en-GB"/>
              </w:rPr>
              <w:t xml:space="preserve"> за </w:t>
            </w:r>
            <w:r w:rsidR="00CD3734" w:rsidRPr="002D4BB5">
              <w:rPr>
                <w:rStyle w:val="Hyperlink"/>
                <w:noProof/>
              </w:rPr>
              <w:t xml:space="preserve">заетост - проект, финансиран по програма </w:t>
            </w:r>
            <w:r w:rsidR="00CD3734" w:rsidRPr="002D4BB5">
              <w:rPr>
                <w:rStyle w:val="Hyperlink"/>
                <w:noProof/>
                <w:lang w:val="en-US"/>
              </w:rPr>
              <w:t>Еразъм</w:t>
            </w:r>
            <w:r w:rsidR="00CD3734" w:rsidRPr="002D4BB5">
              <w:rPr>
                <w:rStyle w:val="Hyperlink"/>
                <w:noProof/>
                <w:position w:val="6"/>
              </w:rPr>
              <w:t xml:space="preserve"> +</w:t>
            </w:r>
            <w:r w:rsidR="00CD3734" w:rsidRPr="002D4BB5">
              <w:rPr>
                <w:rStyle w:val="Hyperlink"/>
                <w:noProof/>
              </w:rPr>
              <w:t xml:space="preserve"> (Ирландия)</w:t>
            </w:r>
            <w:r w:rsidR="00CD3734">
              <w:rPr>
                <w:noProof/>
                <w:webHidden/>
              </w:rPr>
              <w:tab/>
            </w:r>
            <w:r w:rsidR="00CD3734">
              <w:rPr>
                <w:noProof/>
                <w:webHidden/>
              </w:rPr>
              <w:fldChar w:fldCharType="begin"/>
            </w:r>
            <w:r w:rsidR="00CD3734">
              <w:rPr>
                <w:noProof/>
                <w:webHidden/>
              </w:rPr>
              <w:instrText xml:space="preserve"> PAGEREF _Toc26808057 \h </w:instrText>
            </w:r>
            <w:r w:rsidR="00CD3734">
              <w:rPr>
                <w:noProof/>
                <w:webHidden/>
              </w:rPr>
            </w:r>
            <w:r w:rsidR="00CD3734">
              <w:rPr>
                <w:noProof/>
                <w:webHidden/>
              </w:rPr>
              <w:fldChar w:fldCharType="separate"/>
            </w:r>
            <w:r w:rsidR="0057163D">
              <w:rPr>
                <w:noProof/>
                <w:webHidden/>
              </w:rPr>
              <w:t>5</w:t>
            </w:r>
            <w:r w:rsidR="00CD3734">
              <w:rPr>
                <w:noProof/>
                <w:webHidden/>
              </w:rPr>
              <w:fldChar w:fldCharType="end"/>
            </w:r>
          </w:hyperlink>
        </w:p>
        <w:p w14:paraId="37B38431" w14:textId="61CD6D6E" w:rsidR="00CD3734" w:rsidRDefault="002E58F2">
          <w:pPr>
            <w:pStyle w:val="TOC1"/>
            <w:tabs>
              <w:tab w:val="right" w:leader="dot" w:pos="9344"/>
            </w:tabs>
            <w:rPr>
              <w:rFonts w:eastAsiaTheme="minorEastAsia"/>
              <w:noProof/>
              <w:sz w:val="22"/>
              <w:lang w:val="en-GB" w:eastAsia="en-GB"/>
            </w:rPr>
          </w:pPr>
          <w:hyperlink w:anchor="_Toc26808058" w:history="1">
            <w:r w:rsidR="00CD3734" w:rsidRPr="002D4BB5">
              <w:rPr>
                <w:rStyle w:val="Hyperlink"/>
                <w:noProof/>
              </w:rPr>
              <w:t>4. Университета и фондацията  Kennispark Twente (Там, където науката става бизнес) (Холандия)</w:t>
            </w:r>
            <w:r w:rsidR="00CD3734">
              <w:rPr>
                <w:noProof/>
                <w:webHidden/>
              </w:rPr>
              <w:tab/>
            </w:r>
            <w:r w:rsidR="00CD3734">
              <w:rPr>
                <w:noProof/>
                <w:webHidden/>
              </w:rPr>
              <w:fldChar w:fldCharType="begin"/>
            </w:r>
            <w:r w:rsidR="00CD3734">
              <w:rPr>
                <w:noProof/>
                <w:webHidden/>
              </w:rPr>
              <w:instrText xml:space="preserve"> PAGEREF _Toc26808058 \h </w:instrText>
            </w:r>
            <w:r w:rsidR="00CD3734">
              <w:rPr>
                <w:noProof/>
                <w:webHidden/>
              </w:rPr>
            </w:r>
            <w:r w:rsidR="00CD3734">
              <w:rPr>
                <w:noProof/>
                <w:webHidden/>
              </w:rPr>
              <w:fldChar w:fldCharType="separate"/>
            </w:r>
            <w:r w:rsidR="0057163D">
              <w:rPr>
                <w:noProof/>
                <w:webHidden/>
              </w:rPr>
              <w:t>6</w:t>
            </w:r>
            <w:r w:rsidR="00CD3734">
              <w:rPr>
                <w:noProof/>
                <w:webHidden/>
              </w:rPr>
              <w:fldChar w:fldCharType="end"/>
            </w:r>
          </w:hyperlink>
        </w:p>
        <w:p w14:paraId="7CE32D81" w14:textId="162980AA" w:rsidR="00CD3734" w:rsidRDefault="002E58F2">
          <w:pPr>
            <w:pStyle w:val="TOC1"/>
            <w:tabs>
              <w:tab w:val="right" w:leader="dot" w:pos="9344"/>
            </w:tabs>
            <w:rPr>
              <w:rFonts w:eastAsiaTheme="minorEastAsia"/>
              <w:noProof/>
              <w:sz w:val="22"/>
              <w:lang w:val="en-GB" w:eastAsia="en-GB"/>
            </w:rPr>
          </w:pPr>
          <w:hyperlink w:anchor="_Toc26808059" w:history="1">
            <w:r w:rsidR="00CD3734" w:rsidRPr="002D4BB5">
              <w:rPr>
                <w:rStyle w:val="Hyperlink"/>
                <w:noProof/>
              </w:rPr>
              <w:t>5</w:t>
            </w:r>
            <w:r w:rsidR="00CD3734" w:rsidRPr="002D4BB5">
              <w:rPr>
                <w:rStyle w:val="Hyperlink"/>
                <w:noProof/>
                <w:lang w:val="en-GB"/>
              </w:rPr>
              <w:t xml:space="preserve">. </w:t>
            </w:r>
            <w:r w:rsidR="00CD3734" w:rsidRPr="002D4BB5">
              <w:rPr>
                <w:rStyle w:val="Hyperlink"/>
                <w:noProof/>
              </w:rPr>
              <w:t>Държавна агенция Vinnova (Швеция)</w:t>
            </w:r>
            <w:r w:rsidR="00CD3734">
              <w:rPr>
                <w:noProof/>
                <w:webHidden/>
              </w:rPr>
              <w:tab/>
            </w:r>
            <w:r w:rsidR="00CD3734">
              <w:rPr>
                <w:noProof/>
                <w:webHidden/>
              </w:rPr>
              <w:fldChar w:fldCharType="begin"/>
            </w:r>
            <w:r w:rsidR="00CD3734">
              <w:rPr>
                <w:noProof/>
                <w:webHidden/>
              </w:rPr>
              <w:instrText xml:space="preserve"> PAGEREF _Toc26808059 \h </w:instrText>
            </w:r>
            <w:r w:rsidR="00CD3734">
              <w:rPr>
                <w:noProof/>
                <w:webHidden/>
              </w:rPr>
            </w:r>
            <w:r w:rsidR="00CD3734">
              <w:rPr>
                <w:noProof/>
                <w:webHidden/>
              </w:rPr>
              <w:fldChar w:fldCharType="separate"/>
            </w:r>
            <w:r w:rsidR="0057163D">
              <w:rPr>
                <w:noProof/>
                <w:webHidden/>
              </w:rPr>
              <w:t>6</w:t>
            </w:r>
            <w:r w:rsidR="00CD3734">
              <w:rPr>
                <w:noProof/>
                <w:webHidden/>
              </w:rPr>
              <w:fldChar w:fldCharType="end"/>
            </w:r>
          </w:hyperlink>
        </w:p>
        <w:p w14:paraId="3255A8AC" w14:textId="2F1ECCCB" w:rsidR="00CD3734" w:rsidRDefault="002E58F2">
          <w:pPr>
            <w:pStyle w:val="TOC1"/>
            <w:tabs>
              <w:tab w:val="right" w:leader="dot" w:pos="9344"/>
            </w:tabs>
            <w:rPr>
              <w:rFonts w:eastAsiaTheme="minorEastAsia"/>
              <w:noProof/>
              <w:sz w:val="22"/>
              <w:lang w:val="en-GB" w:eastAsia="en-GB"/>
            </w:rPr>
          </w:pPr>
          <w:hyperlink w:anchor="_Toc26808060" w:history="1">
            <w:r w:rsidR="00CD3734" w:rsidRPr="002D4BB5">
              <w:rPr>
                <w:rStyle w:val="Hyperlink"/>
                <w:noProof/>
              </w:rPr>
              <w:t>6. Стратегия за учене през целия живот на Дунавски университет Кремс Университет за продължаващо образование (Австрия)</w:t>
            </w:r>
            <w:r w:rsidR="00CD3734">
              <w:rPr>
                <w:noProof/>
                <w:webHidden/>
              </w:rPr>
              <w:tab/>
            </w:r>
            <w:r w:rsidR="00CD3734">
              <w:rPr>
                <w:noProof/>
                <w:webHidden/>
              </w:rPr>
              <w:fldChar w:fldCharType="begin"/>
            </w:r>
            <w:r w:rsidR="00CD3734">
              <w:rPr>
                <w:noProof/>
                <w:webHidden/>
              </w:rPr>
              <w:instrText xml:space="preserve"> PAGEREF _Toc26808060 \h </w:instrText>
            </w:r>
            <w:r w:rsidR="00CD3734">
              <w:rPr>
                <w:noProof/>
                <w:webHidden/>
              </w:rPr>
            </w:r>
            <w:r w:rsidR="00CD3734">
              <w:rPr>
                <w:noProof/>
                <w:webHidden/>
              </w:rPr>
              <w:fldChar w:fldCharType="separate"/>
            </w:r>
            <w:r w:rsidR="0057163D">
              <w:rPr>
                <w:noProof/>
                <w:webHidden/>
              </w:rPr>
              <w:t>6</w:t>
            </w:r>
            <w:r w:rsidR="00CD3734">
              <w:rPr>
                <w:noProof/>
                <w:webHidden/>
              </w:rPr>
              <w:fldChar w:fldCharType="end"/>
            </w:r>
          </w:hyperlink>
        </w:p>
        <w:p w14:paraId="1B349D3D" w14:textId="55E3892A" w:rsidR="00CD3734" w:rsidRDefault="002E58F2">
          <w:pPr>
            <w:pStyle w:val="TOC1"/>
            <w:tabs>
              <w:tab w:val="right" w:leader="dot" w:pos="9344"/>
            </w:tabs>
            <w:rPr>
              <w:rFonts w:eastAsiaTheme="minorEastAsia"/>
              <w:noProof/>
              <w:sz w:val="22"/>
              <w:lang w:val="en-GB" w:eastAsia="en-GB"/>
            </w:rPr>
          </w:pPr>
          <w:hyperlink w:anchor="_Toc26808061" w:history="1">
            <w:r w:rsidR="00CD3734" w:rsidRPr="002D4BB5">
              <w:rPr>
                <w:rStyle w:val="Hyperlink"/>
                <w:noProof/>
              </w:rPr>
              <w:t>7. Предприемаческо училище, Инсбрук ( Австрия)</w:t>
            </w:r>
            <w:r w:rsidR="00CD3734">
              <w:rPr>
                <w:noProof/>
                <w:webHidden/>
              </w:rPr>
              <w:tab/>
            </w:r>
            <w:r w:rsidR="00CD3734">
              <w:rPr>
                <w:noProof/>
                <w:webHidden/>
              </w:rPr>
              <w:fldChar w:fldCharType="begin"/>
            </w:r>
            <w:r w:rsidR="00CD3734">
              <w:rPr>
                <w:noProof/>
                <w:webHidden/>
              </w:rPr>
              <w:instrText xml:space="preserve"> PAGEREF _Toc26808061 \h </w:instrText>
            </w:r>
            <w:r w:rsidR="00CD3734">
              <w:rPr>
                <w:noProof/>
                <w:webHidden/>
              </w:rPr>
            </w:r>
            <w:r w:rsidR="00CD3734">
              <w:rPr>
                <w:noProof/>
                <w:webHidden/>
              </w:rPr>
              <w:fldChar w:fldCharType="separate"/>
            </w:r>
            <w:r w:rsidR="0057163D">
              <w:rPr>
                <w:noProof/>
                <w:webHidden/>
              </w:rPr>
              <w:t>8</w:t>
            </w:r>
            <w:r w:rsidR="00CD3734">
              <w:rPr>
                <w:noProof/>
                <w:webHidden/>
              </w:rPr>
              <w:fldChar w:fldCharType="end"/>
            </w:r>
          </w:hyperlink>
        </w:p>
        <w:p w14:paraId="4C80DCF7" w14:textId="6B3D5387" w:rsidR="00CD3734" w:rsidRDefault="002E58F2">
          <w:pPr>
            <w:pStyle w:val="TOC1"/>
            <w:tabs>
              <w:tab w:val="right" w:leader="dot" w:pos="9344"/>
            </w:tabs>
            <w:rPr>
              <w:rFonts w:eastAsiaTheme="minorEastAsia"/>
              <w:noProof/>
              <w:sz w:val="22"/>
              <w:lang w:val="en-GB" w:eastAsia="en-GB"/>
            </w:rPr>
          </w:pPr>
          <w:hyperlink w:anchor="_Toc26808062" w:history="1">
            <w:r w:rsidR="00CD3734" w:rsidRPr="002D4BB5">
              <w:rPr>
                <w:rStyle w:val="Hyperlink"/>
                <w:noProof/>
              </w:rPr>
              <w:t>8. Център за подпомагане на студентите и кариерно развитие: Развитието на кариерата на студентите и популяризиране на работодателите (Хърватия).</w:t>
            </w:r>
            <w:r w:rsidR="00CD3734">
              <w:rPr>
                <w:noProof/>
                <w:webHidden/>
              </w:rPr>
              <w:tab/>
            </w:r>
            <w:r w:rsidR="00CD3734">
              <w:rPr>
                <w:noProof/>
                <w:webHidden/>
              </w:rPr>
              <w:fldChar w:fldCharType="begin"/>
            </w:r>
            <w:r w:rsidR="00CD3734">
              <w:rPr>
                <w:noProof/>
                <w:webHidden/>
              </w:rPr>
              <w:instrText xml:space="preserve"> PAGEREF _Toc26808062 \h </w:instrText>
            </w:r>
            <w:r w:rsidR="00CD3734">
              <w:rPr>
                <w:noProof/>
                <w:webHidden/>
              </w:rPr>
            </w:r>
            <w:r w:rsidR="00CD3734">
              <w:rPr>
                <w:noProof/>
                <w:webHidden/>
              </w:rPr>
              <w:fldChar w:fldCharType="separate"/>
            </w:r>
            <w:r w:rsidR="0057163D">
              <w:rPr>
                <w:noProof/>
                <w:webHidden/>
              </w:rPr>
              <w:t>9</w:t>
            </w:r>
            <w:r w:rsidR="00CD3734">
              <w:rPr>
                <w:noProof/>
                <w:webHidden/>
              </w:rPr>
              <w:fldChar w:fldCharType="end"/>
            </w:r>
          </w:hyperlink>
        </w:p>
        <w:p w14:paraId="06A9C53A" w14:textId="493B74F2" w:rsidR="00CD3734" w:rsidRDefault="002E58F2">
          <w:pPr>
            <w:pStyle w:val="TOC1"/>
            <w:tabs>
              <w:tab w:val="right" w:leader="dot" w:pos="9344"/>
            </w:tabs>
            <w:rPr>
              <w:rFonts w:eastAsiaTheme="minorEastAsia"/>
              <w:noProof/>
              <w:sz w:val="22"/>
              <w:lang w:val="en-GB" w:eastAsia="en-GB"/>
            </w:rPr>
          </w:pPr>
          <w:hyperlink w:anchor="_Toc26808063" w:history="1">
            <w:r w:rsidR="00CD3734" w:rsidRPr="002D4BB5">
              <w:rPr>
                <w:rStyle w:val="Hyperlink"/>
                <w:rFonts w:cstheme="minorHAnsi"/>
                <w:noProof/>
                <w:lang w:eastAsia="bg-BG"/>
              </w:rPr>
              <w:t xml:space="preserve">9. </w:t>
            </w:r>
            <w:r w:rsidR="00CD3734" w:rsidRPr="002D4BB5">
              <w:rPr>
                <w:rStyle w:val="Hyperlink"/>
                <w:noProof/>
              </w:rPr>
              <w:t>Служба за връзка с индустрията на Кипърския технологичен университет (Enterprise Liaison Office) (Кипър)</w:t>
            </w:r>
            <w:r w:rsidR="00CD3734">
              <w:rPr>
                <w:noProof/>
                <w:webHidden/>
              </w:rPr>
              <w:tab/>
            </w:r>
            <w:r w:rsidR="00CD3734">
              <w:rPr>
                <w:noProof/>
                <w:webHidden/>
              </w:rPr>
              <w:fldChar w:fldCharType="begin"/>
            </w:r>
            <w:r w:rsidR="00CD3734">
              <w:rPr>
                <w:noProof/>
                <w:webHidden/>
              </w:rPr>
              <w:instrText xml:space="preserve"> PAGEREF _Toc26808063 \h </w:instrText>
            </w:r>
            <w:r w:rsidR="00CD3734">
              <w:rPr>
                <w:noProof/>
                <w:webHidden/>
              </w:rPr>
            </w:r>
            <w:r w:rsidR="00CD3734">
              <w:rPr>
                <w:noProof/>
                <w:webHidden/>
              </w:rPr>
              <w:fldChar w:fldCharType="separate"/>
            </w:r>
            <w:r w:rsidR="0057163D">
              <w:rPr>
                <w:noProof/>
                <w:webHidden/>
              </w:rPr>
              <w:t>9</w:t>
            </w:r>
            <w:r w:rsidR="00CD3734">
              <w:rPr>
                <w:noProof/>
                <w:webHidden/>
              </w:rPr>
              <w:fldChar w:fldCharType="end"/>
            </w:r>
          </w:hyperlink>
        </w:p>
        <w:p w14:paraId="39FFFF36" w14:textId="38BAE29A" w:rsidR="00CD3734" w:rsidRDefault="002E58F2">
          <w:pPr>
            <w:pStyle w:val="TOC1"/>
            <w:tabs>
              <w:tab w:val="right" w:leader="dot" w:pos="9344"/>
            </w:tabs>
            <w:rPr>
              <w:rFonts w:eastAsiaTheme="minorEastAsia"/>
              <w:noProof/>
              <w:sz w:val="22"/>
              <w:lang w:val="en-GB" w:eastAsia="en-GB"/>
            </w:rPr>
          </w:pPr>
          <w:hyperlink w:anchor="_Toc26808064" w:history="1">
            <w:r w:rsidR="00CD3734" w:rsidRPr="002D4BB5">
              <w:rPr>
                <w:rStyle w:val="Hyperlink"/>
                <w:rFonts w:cstheme="minorHAnsi"/>
                <w:noProof/>
                <w:lang w:eastAsia="bg-BG"/>
              </w:rPr>
              <w:t xml:space="preserve">10. </w:t>
            </w:r>
            <w:r w:rsidR="00CD3734" w:rsidRPr="002D4BB5">
              <w:rPr>
                <w:rStyle w:val="Hyperlink"/>
                <w:noProof/>
              </w:rPr>
              <w:t>Рамка за високи постижения в преподаването и резултати на студентите (Teaching Excellence and Student Outcomes Framework (TEF) (Великобритания</w:t>
            </w:r>
            <w:r w:rsidR="00CD3734" w:rsidRPr="002D4BB5">
              <w:rPr>
                <w:rStyle w:val="Hyperlink"/>
                <w:rFonts w:cstheme="minorHAnsi"/>
                <w:noProof/>
              </w:rPr>
              <w:t>)</w:t>
            </w:r>
            <w:r w:rsidR="00CD3734">
              <w:rPr>
                <w:noProof/>
                <w:webHidden/>
              </w:rPr>
              <w:tab/>
            </w:r>
            <w:r w:rsidR="00CD3734">
              <w:rPr>
                <w:noProof/>
                <w:webHidden/>
              </w:rPr>
              <w:fldChar w:fldCharType="begin"/>
            </w:r>
            <w:r w:rsidR="00CD3734">
              <w:rPr>
                <w:noProof/>
                <w:webHidden/>
              </w:rPr>
              <w:instrText xml:space="preserve"> PAGEREF _Toc26808064 \h </w:instrText>
            </w:r>
            <w:r w:rsidR="00CD3734">
              <w:rPr>
                <w:noProof/>
                <w:webHidden/>
              </w:rPr>
            </w:r>
            <w:r w:rsidR="00CD3734">
              <w:rPr>
                <w:noProof/>
                <w:webHidden/>
              </w:rPr>
              <w:fldChar w:fldCharType="separate"/>
            </w:r>
            <w:r w:rsidR="0057163D">
              <w:rPr>
                <w:noProof/>
                <w:webHidden/>
              </w:rPr>
              <w:t>10</w:t>
            </w:r>
            <w:r w:rsidR="00CD3734">
              <w:rPr>
                <w:noProof/>
                <w:webHidden/>
              </w:rPr>
              <w:fldChar w:fldCharType="end"/>
            </w:r>
          </w:hyperlink>
        </w:p>
        <w:p w14:paraId="1A3A1C59" w14:textId="2CEE9CDA" w:rsidR="00CD3734" w:rsidRDefault="00CD3734">
          <w:r>
            <w:rPr>
              <w:b/>
              <w:bCs/>
              <w:noProof/>
            </w:rPr>
            <w:fldChar w:fldCharType="end"/>
          </w:r>
        </w:p>
      </w:sdtContent>
    </w:sdt>
    <w:p w14:paraId="05E85C07" w14:textId="5F9A3275" w:rsidR="00CD3734" w:rsidRDefault="00CD3734" w:rsidP="003437CE">
      <w:pPr>
        <w:jc w:val="both"/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</w:rPr>
      </w:pPr>
    </w:p>
    <w:p w14:paraId="4B6D1E8F" w14:textId="77777777" w:rsidR="00CD3734" w:rsidRDefault="00CD3734" w:rsidP="003437CE">
      <w:pPr>
        <w:jc w:val="both"/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</w:rPr>
      </w:pPr>
    </w:p>
    <w:p w14:paraId="37F2A4EF" w14:textId="77777777" w:rsidR="00CD3734" w:rsidRDefault="00CD3734" w:rsidP="003437CE">
      <w:pPr>
        <w:jc w:val="both"/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</w:rPr>
      </w:pPr>
    </w:p>
    <w:p w14:paraId="2036E1FC" w14:textId="77777777" w:rsidR="00CD3734" w:rsidRDefault="00CD3734" w:rsidP="003437CE">
      <w:pPr>
        <w:jc w:val="both"/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</w:rPr>
      </w:pPr>
    </w:p>
    <w:p w14:paraId="2C84EAB6" w14:textId="77777777" w:rsidR="00CD3734" w:rsidRDefault="00CD3734" w:rsidP="003437CE">
      <w:pPr>
        <w:jc w:val="both"/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</w:rPr>
      </w:pPr>
    </w:p>
    <w:p w14:paraId="13B9BC83" w14:textId="77777777" w:rsidR="00CD3734" w:rsidRDefault="00CD3734" w:rsidP="003437CE">
      <w:pPr>
        <w:jc w:val="both"/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</w:rPr>
      </w:pPr>
    </w:p>
    <w:p w14:paraId="26208E6B" w14:textId="77777777" w:rsidR="00CD3734" w:rsidRDefault="00CD3734" w:rsidP="003437CE">
      <w:pPr>
        <w:jc w:val="both"/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</w:rPr>
      </w:pPr>
    </w:p>
    <w:p w14:paraId="24AC7CED" w14:textId="77777777" w:rsidR="00CD3734" w:rsidRDefault="00CD3734" w:rsidP="003437CE">
      <w:pPr>
        <w:jc w:val="both"/>
        <w:rPr>
          <w:rFonts w:cstheme="minorHAnsi"/>
          <w:b/>
          <w:bCs/>
          <w:i/>
          <w:iCs/>
          <w:color w:val="2F5496" w:themeColor="accent1" w:themeShade="BF"/>
          <w:sz w:val="36"/>
          <w:szCs w:val="36"/>
        </w:rPr>
      </w:pPr>
    </w:p>
    <w:p w14:paraId="2A80E3EB" w14:textId="77777777" w:rsidR="00CD3734" w:rsidRDefault="00CD3734" w:rsidP="003437CE">
      <w:pPr>
        <w:jc w:val="both"/>
        <w:rPr>
          <w:rFonts w:cstheme="minorHAnsi"/>
          <w:color w:val="2F5496" w:themeColor="accent1" w:themeShade="BF"/>
          <w:sz w:val="24"/>
          <w:szCs w:val="24"/>
        </w:rPr>
      </w:pPr>
    </w:p>
    <w:p w14:paraId="012AF92F" w14:textId="77777777" w:rsidR="00CD3734" w:rsidRDefault="00CD3734" w:rsidP="003437CE">
      <w:pPr>
        <w:jc w:val="both"/>
        <w:rPr>
          <w:rFonts w:cstheme="minorHAnsi"/>
          <w:color w:val="2F5496" w:themeColor="accent1" w:themeShade="BF"/>
          <w:sz w:val="24"/>
          <w:szCs w:val="24"/>
        </w:rPr>
      </w:pPr>
    </w:p>
    <w:p w14:paraId="0F67F60F" w14:textId="2DB483A4" w:rsidR="003437CE" w:rsidRPr="003437CE" w:rsidRDefault="002F6AB6" w:rsidP="003437CE">
      <w:pPr>
        <w:jc w:val="both"/>
        <w:rPr>
          <w:rFonts w:cstheme="minorHAnsi"/>
          <w:color w:val="2F5496" w:themeColor="accent1" w:themeShade="BF"/>
          <w:sz w:val="24"/>
          <w:szCs w:val="24"/>
        </w:rPr>
      </w:pPr>
      <w:r>
        <w:rPr>
          <w:rFonts w:cstheme="minorHAnsi"/>
          <w:color w:val="2F5496" w:themeColor="accent1" w:themeShade="BF"/>
          <w:sz w:val="24"/>
          <w:szCs w:val="24"/>
        </w:rPr>
        <w:lastRenderedPageBreak/>
        <w:t>Съгласно Работната програма на проекта, експертите на ЦИА представиха пред участниците в  кръглите маси проучени от тях</w:t>
      </w:r>
      <w:r w:rsidR="003437CE" w:rsidRPr="003437CE">
        <w:rPr>
          <w:rFonts w:cstheme="minorHAnsi"/>
          <w:color w:val="2F5496" w:themeColor="accent1" w:themeShade="BF"/>
          <w:sz w:val="24"/>
          <w:szCs w:val="24"/>
        </w:rPr>
        <w:t xml:space="preserve"> конкретни примери за </w:t>
      </w:r>
      <w:r w:rsidR="00340CFD">
        <w:rPr>
          <w:rFonts w:cstheme="minorHAnsi"/>
          <w:color w:val="2F5496" w:themeColor="accent1" w:themeShade="BF"/>
          <w:sz w:val="24"/>
          <w:szCs w:val="24"/>
        </w:rPr>
        <w:t xml:space="preserve">връзките </w:t>
      </w:r>
      <w:r w:rsidR="003437CE" w:rsidRPr="003437CE">
        <w:rPr>
          <w:rFonts w:cstheme="minorHAnsi"/>
          <w:color w:val="2F5496" w:themeColor="accent1" w:themeShade="BF"/>
          <w:sz w:val="24"/>
          <w:szCs w:val="24"/>
        </w:rPr>
        <w:t>между университети и представителите на бизнеса в областта на образованието</w:t>
      </w:r>
      <w:r>
        <w:rPr>
          <w:rFonts w:cstheme="minorHAnsi"/>
          <w:color w:val="2F5496" w:themeColor="accent1" w:themeShade="BF"/>
          <w:sz w:val="24"/>
          <w:szCs w:val="24"/>
        </w:rPr>
        <w:t xml:space="preserve"> в различни страни-членки на ЕС</w:t>
      </w:r>
      <w:r w:rsidR="00340CFD">
        <w:rPr>
          <w:rFonts w:cstheme="minorHAnsi"/>
          <w:color w:val="2F5496" w:themeColor="accent1" w:themeShade="BF"/>
          <w:sz w:val="24"/>
          <w:szCs w:val="24"/>
        </w:rPr>
        <w:t>,</w:t>
      </w:r>
      <w:r w:rsidR="00340CFD" w:rsidRPr="00340CFD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340CFD" w:rsidRPr="003437CE">
        <w:rPr>
          <w:rFonts w:cstheme="minorHAnsi"/>
          <w:color w:val="2F5496" w:themeColor="accent1" w:themeShade="BF"/>
          <w:sz w:val="24"/>
          <w:szCs w:val="24"/>
        </w:rPr>
        <w:t xml:space="preserve">които биха могли да се приложат </w:t>
      </w:r>
      <w:r w:rsidR="00340CFD">
        <w:rPr>
          <w:rFonts w:cstheme="minorHAnsi"/>
          <w:color w:val="2F5496" w:themeColor="accent1" w:themeShade="BF"/>
          <w:sz w:val="24"/>
          <w:szCs w:val="24"/>
        </w:rPr>
        <w:t xml:space="preserve">и </w:t>
      </w:r>
      <w:r w:rsidR="00340CFD" w:rsidRPr="003437CE">
        <w:rPr>
          <w:rFonts w:cstheme="minorHAnsi"/>
          <w:color w:val="2F5496" w:themeColor="accent1" w:themeShade="BF"/>
          <w:sz w:val="24"/>
          <w:szCs w:val="24"/>
        </w:rPr>
        <w:t>у нас</w:t>
      </w:r>
      <w:r w:rsidR="00340CFD">
        <w:rPr>
          <w:rFonts w:cstheme="minorHAnsi"/>
          <w:color w:val="2F5496" w:themeColor="accent1" w:themeShade="BF"/>
          <w:sz w:val="24"/>
          <w:szCs w:val="24"/>
        </w:rPr>
        <w:t xml:space="preserve"> изцяло или под някаква форма</w:t>
      </w:r>
      <w:r>
        <w:rPr>
          <w:rFonts w:cstheme="minorHAnsi"/>
          <w:color w:val="2F5496" w:themeColor="accent1" w:themeShade="BF"/>
          <w:sz w:val="24"/>
          <w:szCs w:val="24"/>
        </w:rPr>
        <w:t xml:space="preserve">. Всички те </w:t>
      </w:r>
      <w:r w:rsidR="00340CFD">
        <w:rPr>
          <w:rFonts w:cstheme="minorHAnsi"/>
          <w:color w:val="2F5496" w:themeColor="accent1" w:themeShade="BF"/>
          <w:sz w:val="24"/>
          <w:szCs w:val="24"/>
        </w:rPr>
        <w:t>са насочени към</w:t>
      </w:r>
      <w:r w:rsidR="003437CE" w:rsidRPr="003437CE">
        <w:rPr>
          <w:rFonts w:cstheme="minorHAnsi"/>
          <w:color w:val="2F5496" w:themeColor="accent1" w:themeShade="BF"/>
          <w:sz w:val="24"/>
          <w:szCs w:val="24"/>
        </w:rPr>
        <w:t xml:space="preserve"> подобряване на качеството на обучението и подобряване на пригодността на завършилите  студенти за включване на пазара на труда.</w:t>
      </w:r>
    </w:p>
    <w:p w14:paraId="054B908D" w14:textId="24739234" w:rsidR="003437CE" w:rsidRPr="003437CE" w:rsidRDefault="003437CE" w:rsidP="003437CE">
      <w:pPr>
        <w:jc w:val="both"/>
        <w:rPr>
          <w:rFonts w:cstheme="minorHAnsi"/>
          <w:color w:val="2F5496" w:themeColor="accent1" w:themeShade="BF"/>
          <w:sz w:val="24"/>
          <w:szCs w:val="24"/>
        </w:rPr>
      </w:pPr>
      <w:r w:rsidRPr="003437CE">
        <w:rPr>
          <w:rFonts w:cstheme="minorHAnsi"/>
          <w:color w:val="2F5496" w:themeColor="accent1" w:themeShade="BF"/>
          <w:sz w:val="24"/>
          <w:szCs w:val="24"/>
        </w:rPr>
        <w:t>Разгледаните примери илюстрират различни механизми за включване на представителите на бизнеса в процеса на изготвяне на учебни програми, тяхното представяне пред студентите и организирането на различни събития и форми, чрез които те  могат да споделят своите потребности. Показани са мястото</w:t>
      </w:r>
      <w:r w:rsidR="00340CFD">
        <w:rPr>
          <w:rFonts w:cstheme="minorHAnsi"/>
          <w:color w:val="2F5496" w:themeColor="accent1" w:themeShade="BF"/>
          <w:sz w:val="24"/>
          <w:szCs w:val="24"/>
        </w:rPr>
        <w:t>,</w:t>
      </w:r>
      <w:r w:rsidRPr="003437CE">
        <w:rPr>
          <w:rFonts w:cstheme="minorHAnsi"/>
          <w:color w:val="2F5496" w:themeColor="accent1" w:themeShade="BF"/>
          <w:sz w:val="24"/>
          <w:szCs w:val="24"/>
        </w:rPr>
        <w:t xml:space="preserve"> инициатив</w:t>
      </w:r>
      <w:r w:rsidR="00340CFD">
        <w:rPr>
          <w:rFonts w:cstheme="minorHAnsi"/>
          <w:color w:val="2F5496" w:themeColor="accent1" w:themeShade="BF"/>
          <w:sz w:val="24"/>
          <w:szCs w:val="24"/>
        </w:rPr>
        <w:t>ите и действията на всички участници</w:t>
      </w:r>
      <w:r w:rsidRPr="003437CE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340CFD" w:rsidRPr="003437CE">
        <w:rPr>
          <w:rFonts w:cstheme="minorHAnsi"/>
          <w:color w:val="2F5496" w:themeColor="accent1" w:themeShade="BF"/>
          <w:sz w:val="24"/>
          <w:szCs w:val="24"/>
        </w:rPr>
        <w:t>в тези процеси</w:t>
      </w:r>
      <w:r w:rsidR="00340CFD">
        <w:rPr>
          <w:rFonts w:cstheme="minorHAnsi"/>
          <w:color w:val="2F5496" w:themeColor="accent1" w:themeShade="BF"/>
          <w:sz w:val="24"/>
          <w:szCs w:val="24"/>
        </w:rPr>
        <w:t xml:space="preserve">: бизнес - </w:t>
      </w:r>
      <w:r w:rsidRPr="003437CE">
        <w:rPr>
          <w:rFonts w:cstheme="minorHAnsi"/>
          <w:color w:val="2F5496" w:themeColor="accent1" w:themeShade="BF"/>
          <w:sz w:val="24"/>
          <w:szCs w:val="24"/>
        </w:rPr>
        <w:t xml:space="preserve">университетите </w:t>
      </w:r>
      <w:r w:rsidR="00340CFD">
        <w:rPr>
          <w:rFonts w:cstheme="minorHAnsi"/>
          <w:color w:val="2F5496" w:themeColor="accent1" w:themeShade="BF"/>
          <w:sz w:val="24"/>
          <w:szCs w:val="24"/>
        </w:rPr>
        <w:t>-</w:t>
      </w:r>
      <w:r w:rsidRPr="003437CE">
        <w:rPr>
          <w:rFonts w:cstheme="minorHAnsi"/>
          <w:color w:val="2F5496" w:themeColor="accent1" w:themeShade="BF"/>
          <w:sz w:val="24"/>
          <w:szCs w:val="24"/>
        </w:rPr>
        <w:t xml:space="preserve"> политически органи </w:t>
      </w:r>
    </w:p>
    <w:p w14:paraId="6F00F4CF" w14:textId="0CFC69FB" w:rsidR="00A71F04" w:rsidRPr="00AD3A71" w:rsidRDefault="00900EF4" w:rsidP="00CD3734">
      <w:pPr>
        <w:pStyle w:val="Heading1"/>
        <w:rPr>
          <w:i/>
          <w:iCs/>
        </w:rPr>
      </w:pPr>
      <w:bookmarkStart w:id="1" w:name="_Toc26808055"/>
      <w:r w:rsidRPr="00AD3A71">
        <w:t>1.</w:t>
      </w:r>
      <w:r w:rsidRPr="00AD3A71">
        <w:rPr>
          <w:i/>
          <w:iCs/>
        </w:rPr>
        <w:t xml:space="preserve"> </w:t>
      </w:r>
      <w:r w:rsidR="00921612" w:rsidRPr="00AD3A71">
        <w:t xml:space="preserve">Програмата </w:t>
      </w:r>
      <w:r w:rsidR="00921612" w:rsidRPr="00AD3A71">
        <w:rPr>
          <w:lang w:val="en-US"/>
        </w:rPr>
        <w:t>AIM</w:t>
      </w:r>
      <w:r w:rsidR="00B0746E" w:rsidRPr="00AD3A71">
        <w:rPr>
          <w:lang w:val="en-GB"/>
        </w:rPr>
        <w:t>Day</w:t>
      </w:r>
      <w:r w:rsidRPr="00AD3A71">
        <w:t xml:space="preserve"> </w:t>
      </w:r>
      <w:r w:rsidR="00AD3A71">
        <w:t xml:space="preserve"> (</w:t>
      </w:r>
      <w:r w:rsidRPr="00AD3A71">
        <w:t>Швеция</w:t>
      </w:r>
      <w:r w:rsidR="00AD3A71">
        <w:t>)</w:t>
      </w:r>
      <w:bookmarkEnd w:id="1"/>
    </w:p>
    <w:p w14:paraId="12BC89EF" w14:textId="00BCA691" w:rsidR="00B13DDE" w:rsidRPr="00CC1C9E" w:rsidRDefault="00170627" w:rsidP="00BF632A">
      <w:pPr>
        <w:jc w:val="both"/>
      </w:pPr>
      <w:proofErr w:type="spellStart"/>
      <w:r w:rsidRPr="00CC1C9E">
        <w:rPr>
          <w:lang w:val="en-GB"/>
        </w:rPr>
        <w:t>AIMday</w:t>
      </w:r>
      <w:proofErr w:type="spellEnd"/>
      <w:r w:rsidRPr="00CC1C9E">
        <w:rPr>
          <w:lang w:val="en-GB"/>
        </w:rPr>
        <w:t xml:space="preserve">: </w:t>
      </w:r>
      <w:r w:rsidRPr="00CC1C9E">
        <w:t xml:space="preserve">Проста концепция </w:t>
      </w:r>
      <w:r w:rsidR="00B13DDE" w:rsidRPr="00CC1C9E">
        <w:t xml:space="preserve">университета в Упсала </w:t>
      </w:r>
      <w:r w:rsidRPr="00CC1C9E">
        <w:t xml:space="preserve">за насърчаване на сътрудничество </w:t>
      </w:r>
      <w:r w:rsidR="00B13DDE" w:rsidRPr="00CC1C9E">
        <w:t>между</w:t>
      </w:r>
      <w:r w:rsidRPr="00CC1C9E">
        <w:t xml:space="preserve"> частния, публичния сектор и университетите за обсъждане на проблеми от взаимен интерес</w:t>
      </w:r>
      <w:r w:rsidR="00B13DDE" w:rsidRPr="00CC1C9E">
        <w:t xml:space="preserve">. Под мотото ДА УСКОРИМ ИНОВАЦИИТЕ КАТО РАБОТИМ ЗАЕДНО, СПРАВЯМЕ СЕ С ПРЕДИЗВИКАТЕЛСТВА, </w:t>
      </w:r>
      <w:r w:rsidR="005E581F" w:rsidRPr="00CC1C9E">
        <w:t>ПРЕДЛАГАМЕ РЕШЕНИЯ, инициативата</w:t>
      </w:r>
      <w:r w:rsidR="005E581F" w:rsidRPr="00CC1C9E">
        <w:rPr>
          <w:lang w:val="en-GB"/>
        </w:rPr>
        <w:t xml:space="preserve"> </w:t>
      </w:r>
      <w:r w:rsidR="00B13DDE" w:rsidRPr="00CC1C9E">
        <w:t xml:space="preserve"> се е доказала като успешна за намиране и установяване на полезни контакти, сътрудничество и намиране на нови пътища за решаване на проблемите </w:t>
      </w:r>
      <w:r w:rsidR="005E581F" w:rsidRPr="00CC1C9E">
        <w:t>на бизнеса.</w:t>
      </w:r>
      <w:r w:rsidR="00B13DDE" w:rsidRPr="00CC1C9E">
        <w:t xml:space="preserve"> </w:t>
      </w:r>
    </w:p>
    <w:p w14:paraId="66045C7B" w14:textId="77777777" w:rsidR="008D3890" w:rsidRPr="00CC1C9E" w:rsidRDefault="00B13DDE" w:rsidP="00BF632A">
      <w:pPr>
        <w:jc w:val="both"/>
      </w:pPr>
      <w:r w:rsidRPr="00CC1C9E">
        <w:t>И</w:t>
      </w:r>
      <w:r w:rsidR="00170627" w:rsidRPr="00CC1C9E">
        <w:t xml:space="preserve">нициативата </w:t>
      </w:r>
      <w:proofErr w:type="spellStart"/>
      <w:r w:rsidR="00170627" w:rsidRPr="00CC1C9E">
        <w:t>AIMday</w:t>
      </w:r>
      <w:proofErr w:type="spellEnd"/>
      <w:r w:rsidR="00170627" w:rsidRPr="00CC1C9E">
        <w:t xml:space="preserve"> </w:t>
      </w:r>
      <w:r w:rsidR="005E581F" w:rsidRPr="00CC1C9E">
        <w:t xml:space="preserve"> </w:t>
      </w:r>
      <w:r w:rsidR="00170627" w:rsidRPr="00CC1C9E">
        <w:t>създава</w:t>
      </w:r>
      <w:r w:rsidR="00B0746E" w:rsidRPr="00CC1C9E">
        <w:t xml:space="preserve"> малки</w:t>
      </w:r>
      <w:r w:rsidR="00170627" w:rsidRPr="00CC1C9E">
        <w:t xml:space="preserve"> форуми за дискусия, в които представители на бизнеса и академичните среди</w:t>
      </w:r>
      <w:r w:rsidR="005E581F" w:rsidRPr="00CC1C9E">
        <w:t xml:space="preserve"> от различни специалности</w:t>
      </w:r>
      <w:r w:rsidR="00170627" w:rsidRPr="00CC1C9E">
        <w:t xml:space="preserve"> заедно обсъжда</w:t>
      </w:r>
      <w:r w:rsidR="005E581F" w:rsidRPr="00CC1C9E">
        <w:t xml:space="preserve"> въпрос поставен от бизнеса</w:t>
      </w:r>
      <w:r w:rsidR="00170627" w:rsidRPr="00CC1C9E">
        <w:t xml:space="preserve"> </w:t>
      </w:r>
      <w:r w:rsidR="005E581F" w:rsidRPr="00CC1C9E">
        <w:t xml:space="preserve">във формат </w:t>
      </w:r>
      <w:r w:rsidR="00170627" w:rsidRPr="00CC1C9E">
        <w:rPr>
          <w:b/>
          <w:bCs/>
        </w:rPr>
        <w:t xml:space="preserve"> </w:t>
      </w:r>
      <w:r w:rsidR="00170627" w:rsidRPr="00CC1C9E">
        <w:rPr>
          <w:b/>
          <w:bCs/>
          <w:caps/>
        </w:rPr>
        <w:t>един въпрос, един час, една група експерти</w:t>
      </w:r>
      <w:r w:rsidR="008D3890" w:rsidRPr="00CC1C9E">
        <w:rPr>
          <w:b/>
          <w:bCs/>
          <w:caps/>
        </w:rPr>
        <w:t xml:space="preserve">.  </w:t>
      </w:r>
      <w:r w:rsidR="008D3890" w:rsidRPr="00CC1C9E">
        <w:t xml:space="preserve">Така от срещата на бизнеса с академичната експертиза се създава взаимно разбирателство и се намират нови перспективи за решаване на актуални проблеми. </w:t>
      </w:r>
    </w:p>
    <w:p w14:paraId="505CBF89" w14:textId="77777777" w:rsidR="008D3890" w:rsidRPr="00CC1C9E" w:rsidRDefault="008D3890" w:rsidP="00BF632A">
      <w:pPr>
        <w:jc w:val="both"/>
      </w:pPr>
      <w:r w:rsidRPr="00CC1C9E">
        <w:t xml:space="preserve">Как работи </w:t>
      </w:r>
      <w:proofErr w:type="spellStart"/>
      <w:r w:rsidRPr="00CC1C9E">
        <w:rPr>
          <w:lang w:val="en-GB"/>
        </w:rPr>
        <w:t>AIMDay</w:t>
      </w:r>
      <w:proofErr w:type="spellEnd"/>
      <w:r w:rsidR="00BA4E6C" w:rsidRPr="00CC1C9E">
        <w:t>:</w:t>
      </w:r>
    </w:p>
    <w:p w14:paraId="112CD758" w14:textId="77777777" w:rsidR="00BA4E6C" w:rsidRPr="00CC1C9E" w:rsidRDefault="00BA4E6C" w:rsidP="00BF632A">
      <w:pPr>
        <w:jc w:val="both"/>
      </w:pPr>
      <w:r w:rsidRPr="00BF632A">
        <w:rPr>
          <w:b/>
          <w:bCs/>
        </w:rPr>
        <w:t>Стъпка 1.</w:t>
      </w:r>
      <w:r w:rsidRPr="00CC1C9E">
        <w:t xml:space="preserve"> Въпрос.  Бизнесът задава въпрос и поддържаща информация за проблема</w:t>
      </w:r>
    </w:p>
    <w:p w14:paraId="004E0604" w14:textId="77777777" w:rsidR="00BA4E6C" w:rsidRPr="00CC1C9E" w:rsidRDefault="00BA4E6C" w:rsidP="00BF632A">
      <w:pPr>
        <w:jc w:val="both"/>
      </w:pPr>
      <w:r w:rsidRPr="00BF632A">
        <w:rPr>
          <w:b/>
          <w:bCs/>
        </w:rPr>
        <w:t>Стъпка 2</w:t>
      </w:r>
      <w:r w:rsidRPr="00CC1C9E">
        <w:t xml:space="preserve">. Заявка за участие. Университетските изследователи изучават въпроса и  заявяват участие според интересите и експертизата си. </w:t>
      </w:r>
    </w:p>
    <w:p w14:paraId="4C498006" w14:textId="77777777" w:rsidR="00BA4E6C" w:rsidRPr="00CC1C9E" w:rsidRDefault="00BA4E6C" w:rsidP="00BF632A">
      <w:pPr>
        <w:jc w:val="both"/>
      </w:pPr>
      <w:r w:rsidRPr="00BF632A">
        <w:rPr>
          <w:b/>
          <w:bCs/>
        </w:rPr>
        <w:t>Стъпка 3</w:t>
      </w:r>
      <w:r w:rsidRPr="00CC1C9E">
        <w:t>. Логистика. Организаторът определя деня на срещата  и събирането на група или групи за дискусия от страна на университета, като осигурява достатъчно експерти за участие.</w:t>
      </w:r>
    </w:p>
    <w:p w14:paraId="3AC14557" w14:textId="77777777" w:rsidR="00BA4E6C" w:rsidRPr="00CC1C9E" w:rsidRDefault="00BA4E6C" w:rsidP="00BF632A">
      <w:pPr>
        <w:jc w:val="both"/>
      </w:pPr>
      <w:r w:rsidRPr="00BF632A">
        <w:rPr>
          <w:b/>
          <w:bCs/>
        </w:rPr>
        <w:t>Стъпка 4</w:t>
      </w:r>
      <w:r w:rsidRPr="00CC1C9E">
        <w:t>. Среща. Всяка група от 7-12 души дискутира точно 1 час</w:t>
      </w:r>
      <w:r w:rsidR="00F27291" w:rsidRPr="00CC1C9E">
        <w:t>. В програмата се предвижда допълнително време за персонални контакти или присъединяване към други дискусионни групи.</w:t>
      </w:r>
    </w:p>
    <w:p w14:paraId="238DF6B2" w14:textId="77777777" w:rsidR="00F27291" w:rsidRPr="00CC1C9E" w:rsidRDefault="00F27291" w:rsidP="00BF632A">
      <w:pPr>
        <w:jc w:val="both"/>
        <w:rPr>
          <w:caps/>
        </w:rPr>
      </w:pPr>
      <w:r w:rsidRPr="00BF632A">
        <w:rPr>
          <w:b/>
          <w:bCs/>
        </w:rPr>
        <w:t>Стъпка 5</w:t>
      </w:r>
      <w:r w:rsidRPr="00CC1C9E">
        <w:t xml:space="preserve">. Проследяване. Месец след дискусията, организаторът проследява резултата и, ако е необходимо предлага нови форми за продължаване на  сътрудничеството (съвместни проекти, договори). </w:t>
      </w:r>
    </w:p>
    <w:p w14:paraId="183DC735" w14:textId="2A674EF1" w:rsidR="00994E57" w:rsidRPr="00CC1C9E" w:rsidRDefault="008D3890" w:rsidP="00BF632A">
      <w:pPr>
        <w:jc w:val="both"/>
        <w:rPr>
          <w:caps/>
        </w:rPr>
      </w:pPr>
      <w:r w:rsidRPr="00CC1C9E">
        <w:lastRenderedPageBreak/>
        <w:t xml:space="preserve">Тази </w:t>
      </w:r>
      <w:r w:rsidR="00994E57" w:rsidRPr="00CC1C9E">
        <w:t xml:space="preserve"> концепция</w:t>
      </w:r>
      <w:r w:rsidRPr="00CC1C9E">
        <w:t xml:space="preserve"> по принцип</w:t>
      </w:r>
      <w:r w:rsidR="00994E57" w:rsidRPr="00CC1C9E">
        <w:t xml:space="preserve"> не </w:t>
      </w:r>
      <w:r w:rsidR="00AD3A71">
        <w:t>е ограничена</w:t>
      </w:r>
      <w:r w:rsidR="00994E57" w:rsidRPr="00CC1C9E">
        <w:t xml:space="preserve"> само до науката и технологиите или до търговските компании</w:t>
      </w:r>
      <w:r w:rsidR="00AD3A71">
        <w:t>. Има</w:t>
      </w:r>
      <w:r w:rsidR="00AD3A71" w:rsidRPr="00CC1C9E">
        <w:t xml:space="preserve"> достатъчно възможности да се включат и хуманитарните или социални науки.</w:t>
      </w:r>
      <w:r w:rsidR="00994E57" w:rsidRPr="00CC1C9E">
        <w:t xml:space="preserve"> Тя </w:t>
      </w:r>
      <w:r w:rsidR="00AD3A71">
        <w:t>би била</w:t>
      </w:r>
      <w:r w:rsidR="00994E57" w:rsidRPr="00CC1C9E">
        <w:t xml:space="preserve"> ефективна </w:t>
      </w:r>
      <w:r w:rsidR="00AD3A71">
        <w:t xml:space="preserve">и </w:t>
      </w:r>
      <w:r w:rsidR="00994E57" w:rsidRPr="00CC1C9E">
        <w:t xml:space="preserve">за национални или местни правителствени организации, търговски органи или сдружения с нестопанска цел.  </w:t>
      </w:r>
    </w:p>
    <w:p w14:paraId="15100D1B" w14:textId="77777777" w:rsidR="00B0746E" w:rsidRPr="0072068B" w:rsidRDefault="00935BC6" w:rsidP="00BF632A">
      <w:pPr>
        <w:spacing w:after="0" w:line="240" w:lineRule="auto"/>
        <w:jc w:val="both"/>
        <w:rPr>
          <w:rStyle w:val="Hyperlink"/>
          <w:rFonts w:cstheme="minorHAnsi"/>
          <w:sz w:val="26"/>
          <w:szCs w:val="26"/>
        </w:rPr>
      </w:pPr>
      <w:r w:rsidRPr="0072068B">
        <w:rPr>
          <w:sz w:val="26"/>
          <w:szCs w:val="26"/>
          <w:u w:val="single"/>
        </w:rPr>
        <w:fldChar w:fldCharType="begin"/>
      </w:r>
      <w:r w:rsidR="00B0746E" w:rsidRPr="0072068B">
        <w:rPr>
          <w:sz w:val="26"/>
          <w:szCs w:val="26"/>
          <w:u w:val="single"/>
        </w:rPr>
        <w:instrText>HYPERLINK "http://aimday.se/"</w:instrText>
      </w:r>
      <w:r w:rsidRPr="0072068B">
        <w:rPr>
          <w:sz w:val="26"/>
          <w:szCs w:val="26"/>
          <w:u w:val="single"/>
        </w:rPr>
        <w:fldChar w:fldCharType="separate"/>
      </w:r>
      <w:r w:rsidR="00B0746E" w:rsidRPr="0072068B">
        <w:rPr>
          <w:rStyle w:val="Hyperlink"/>
          <w:rFonts w:cstheme="minorHAnsi"/>
          <w:sz w:val="26"/>
          <w:szCs w:val="26"/>
        </w:rPr>
        <w:t>http://aimday.se</w:t>
      </w:r>
    </w:p>
    <w:p w14:paraId="10C84B5D" w14:textId="77777777" w:rsidR="00340CFD" w:rsidRDefault="00935BC6" w:rsidP="00BF632A">
      <w:pPr>
        <w:spacing w:after="0" w:line="240" w:lineRule="auto"/>
        <w:jc w:val="both"/>
        <w:rPr>
          <w:rStyle w:val="Hyperlink"/>
          <w:rFonts w:cstheme="minorHAnsi"/>
          <w:sz w:val="26"/>
          <w:szCs w:val="26"/>
        </w:rPr>
      </w:pPr>
      <w:r w:rsidRPr="0072068B">
        <w:rPr>
          <w:sz w:val="26"/>
          <w:szCs w:val="26"/>
          <w:u w:val="single"/>
        </w:rPr>
        <w:fldChar w:fldCharType="end"/>
      </w:r>
      <w:hyperlink r:id="rId8" w:history="1">
        <w:r w:rsidR="00481ADC" w:rsidRPr="0072068B">
          <w:rPr>
            <w:rStyle w:val="Hyperlink"/>
            <w:rFonts w:cstheme="minorHAnsi"/>
            <w:sz w:val="26"/>
            <w:szCs w:val="26"/>
          </w:rPr>
          <w:t>mailto:sara.gredemark@uuinnovation.uu.se</w:t>
        </w:r>
      </w:hyperlink>
    </w:p>
    <w:p w14:paraId="682526B1" w14:textId="77777777" w:rsidR="00340CFD" w:rsidRDefault="00340CFD" w:rsidP="00BF632A">
      <w:pPr>
        <w:spacing w:after="0" w:line="240" w:lineRule="auto"/>
        <w:jc w:val="both"/>
        <w:rPr>
          <w:rStyle w:val="Hyperlink"/>
          <w:rFonts w:cstheme="minorHAnsi"/>
          <w:sz w:val="26"/>
          <w:szCs w:val="26"/>
        </w:rPr>
      </w:pPr>
    </w:p>
    <w:p w14:paraId="02ABFAD8" w14:textId="26103FC5" w:rsidR="00994E57" w:rsidRPr="00CD3734" w:rsidRDefault="00994E57" w:rsidP="00CD3734">
      <w:pPr>
        <w:pStyle w:val="Heading1"/>
        <w:rPr>
          <w:highlight w:val="yellow"/>
        </w:rPr>
      </w:pPr>
      <w:bookmarkStart w:id="2" w:name="_Toc18360856"/>
      <w:bookmarkStart w:id="3" w:name="_Toc26808056"/>
      <w:r w:rsidRPr="00CD3734">
        <w:t>2. Бизнес-университетска асоциация</w:t>
      </w:r>
      <w:bookmarkEnd w:id="2"/>
      <w:r w:rsidR="00AD3A71" w:rsidRPr="00CD3734">
        <w:t xml:space="preserve"> (България)</w:t>
      </w:r>
      <w:bookmarkEnd w:id="3"/>
    </w:p>
    <w:p w14:paraId="1AC2D1BD" w14:textId="77777777" w:rsidR="00994E57" w:rsidRPr="004F00A1" w:rsidRDefault="00994E57" w:rsidP="00BF632A">
      <w:pPr>
        <w:jc w:val="both"/>
      </w:pPr>
      <w:r w:rsidRPr="004F00A1">
        <w:t xml:space="preserve">Първата в България </w:t>
      </w:r>
      <w:r w:rsidRPr="004F00A1">
        <w:rPr>
          <w:b/>
        </w:rPr>
        <w:t>Бизнес университетска асоциация в хранителната индустрия и туризма</w:t>
      </w:r>
      <w:r w:rsidRPr="004F00A1">
        <w:t xml:space="preserve"> е учредена в Университета по хранителни технологии в Пловдив. 30 водещи компании в областта на хранителната промишленост, хранителното машиностроене и туризма и представители на висшето учебно заведение са подписали  учредителен протокол, с ангажимент да работят заедно. </w:t>
      </w:r>
    </w:p>
    <w:p w14:paraId="3EF50C04" w14:textId="77777777" w:rsidR="00994E57" w:rsidRPr="004F00A1" w:rsidRDefault="00994E57" w:rsidP="00BF632A">
      <w:pPr>
        <w:jc w:val="both"/>
        <w:rPr>
          <w:rFonts w:eastAsia="Times New Roman"/>
          <w:lang w:eastAsia="bg-BG"/>
        </w:rPr>
      </w:pPr>
      <w:r w:rsidRPr="004F00A1">
        <w:rPr>
          <w:rFonts w:eastAsia="Times New Roman"/>
          <w:lang w:eastAsia="bg-BG"/>
        </w:rPr>
        <w:t>Община Пловдив подкрепя идеята за учредяване на сдружението.</w:t>
      </w:r>
    </w:p>
    <w:p w14:paraId="59DAC374" w14:textId="77777777" w:rsidR="00994E57" w:rsidRPr="004F00A1" w:rsidRDefault="00994E57" w:rsidP="00BF632A">
      <w:pPr>
        <w:jc w:val="both"/>
        <w:rPr>
          <w:rFonts w:eastAsia="Times New Roman"/>
          <w:lang w:eastAsia="bg-BG"/>
        </w:rPr>
      </w:pPr>
      <w:r w:rsidRPr="004F00A1">
        <w:rPr>
          <w:rFonts w:eastAsia="Times New Roman"/>
          <w:lang w:eastAsia="bg-BG"/>
        </w:rPr>
        <w:t xml:space="preserve">Идеята за създаването му е обмисляна в продължение на две години. Тя има за цел да подпомогне установяването на по-тесни контакти на Университета по хранителни технологии, Съюза по хранителна промишленост и водещи фирми в бранша, за да постигане на взаимно изгодни цели. Някои от участващите фирми са </w:t>
      </w:r>
      <w:r w:rsidRPr="004F00A1">
        <w:t xml:space="preserve">фирма </w:t>
      </w:r>
      <w:proofErr w:type="spellStart"/>
      <w:r w:rsidRPr="004F00A1">
        <w:t>Филикон</w:t>
      </w:r>
      <w:proofErr w:type="spellEnd"/>
      <w:r w:rsidRPr="004F00A1">
        <w:t xml:space="preserve">, Каменица, ВП Брандс Интернешънъл, Бела България, Димитър Маджаров, </w:t>
      </w:r>
      <w:proofErr w:type="spellStart"/>
      <w:r w:rsidRPr="004F00A1">
        <w:t>Техра</w:t>
      </w:r>
      <w:proofErr w:type="spellEnd"/>
      <w:r w:rsidRPr="004F00A1">
        <w:t xml:space="preserve"> ООД. </w:t>
      </w:r>
      <w:r w:rsidRPr="004F00A1">
        <w:rPr>
          <w:rFonts w:eastAsia="Times New Roman"/>
          <w:lang w:eastAsia="bg-BG"/>
        </w:rPr>
        <w:t xml:space="preserve">Всеки от членовете заплаща годишна вноска от 4000 лева. Събраните средства са предназначени за: </w:t>
      </w:r>
    </w:p>
    <w:p w14:paraId="3889165A" w14:textId="5215F020" w:rsidR="00994E57" w:rsidRPr="004F00A1" w:rsidRDefault="00994E57" w:rsidP="00BF632A">
      <w:pPr>
        <w:pStyle w:val="ListParagraph"/>
        <w:numPr>
          <w:ilvl w:val="0"/>
          <w:numId w:val="4"/>
        </w:numPr>
        <w:spacing w:after="0"/>
        <w:jc w:val="both"/>
      </w:pPr>
      <w:r w:rsidRPr="004F00A1">
        <w:t>подобряване на учебната база;</w:t>
      </w:r>
    </w:p>
    <w:p w14:paraId="7E2B5308" w14:textId="4EFAFB18" w:rsidR="00994E57" w:rsidRPr="00BF632A" w:rsidRDefault="00994E57" w:rsidP="00BF632A">
      <w:pPr>
        <w:pStyle w:val="ListParagraph"/>
        <w:numPr>
          <w:ilvl w:val="0"/>
          <w:numId w:val="4"/>
        </w:numPr>
        <w:spacing w:after="0"/>
        <w:jc w:val="both"/>
        <w:rPr>
          <w:rFonts w:eastAsia="Times New Roman"/>
          <w:lang w:eastAsia="bg-BG"/>
        </w:rPr>
      </w:pPr>
      <w:r w:rsidRPr="00BF632A">
        <w:rPr>
          <w:rFonts w:eastAsia="Times New Roman"/>
          <w:lang w:eastAsia="bg-BG"/>
        </w:rPr>
        <w:t xml:space="preserve">повишаване квалификацията на преподавателите в университета чрез посещение на фирми; </w:t>
      </w:r>
    </w:p>
    <w:p w14:paraId="5F1D6007" w14:textId="6D7B2C96" w:rsidR="00994E57" w:rsidRPr="00BF632A" w:rsidRDefault="00994E57" w:rsidP="00BF632A">
      <w:pPr>
        <w:pStyle w:val="ListParagraph"/>
        <w:numPr>
          <w:ilvl w:val="0"/>
          <w:numId w:val="4"/>
        </w:numPr>
        <w:spacing w:after="0"/>
        <w:jc w:val="both"/>
        <w:rPr>
          <w:rFonts w:eastAsia="Times New Roman"/>
          <w:lang w:eastAsia="bg-BG"/>
        </w:rPr>
      </w:pPr>
      <w:r w:rsidRPr="00BF632A">
        <w:rPr>
          <w:rFonts w:eastAsia="Times New Roman"/>
          <w:lang w:eastAsia="bg-BG"/>
        </w:rPr>
        <w:t xml:space="preserve">организиране на стажове и практически обучения на студенти, докторанти и специализанти; </w:t>
      </w:r>
    </w:p>
    <w:p w14:paraId="04F9CBC8" w14:textId="14EF49F2" w:rsidR="00994E57" w:rsidRPr="00BF632A" w:rsidRDefault="00994E57" w:rsidP="00BF632A">
      <w:pPr>
        <w:pStyle w:val="ListParagraph"/>
        <w:numPr>
          <w:ilvl w:val="0"/>
          <w:numId w:val="4"/>
        </w:numPr>
        <w:spacing w:after="0"/>
        <w:jc w:val="both"/>
        <w:rPr>
          <w:rFonts w:eastAsia="Times New Roman"/>
          <w:lang w:eastAsia="bg-BG"/>
        </w:rPr>
      </w:pPr>
      <w:r w:rsidRPr="00BF632A">
        <w:rPr>
          <w:rFonts w:eastAsia="Times New Roman"/>
          <w:lang w:eastAsia="bg-BG"/>
        </w:rPr>
        <w:t>подпомагане на реализацията на студентите след завършване на обучението в компаниите учредителки; предлагане на стипендии, на постоянна работа;</w:t>
      </w:r>
    </w:p>
    <w:p w14:paraId="7E0B65F5" w14:textId="489A3BDE" w:rsidR="00994E57" w:rsidRPr="00BF632A" w:rsidRDefault="00994E57" w:rsidP="00BF632A">
      <w:pPr>
        <w:pStyle w:val="ListParagraph"/>
        <w:numPr>
          <w:ilvl w:val="0"/>
          <w:numId w:val="4"/>
        </w:numPr>
        <w:spacing w:after="0"/>
        <w:jc w:val="both"/>
        <w:rPr>
          <w:rFonts w:eastAsia="Times New Roman"/>
          <w:lang w:eastAsia="bg-BG"/>
        </w:rPr>
      </w:pPr>
      <w:r w:rsidRPr="00BF632A">
        <w:rPr>
          <w:rFonts w:eastAsia="Times New Roman"/>
          <w:lang w:eastAsia="bg-BG"/>
        </w:rPr>
        <w:t>съвместни участия в научни и изследователски програми и форуми;</w:t>
      </w:r>
    </w:p>
    <w:p w14:paraId="165371F3" w14:textId="3C28BDB5" w:rsidR="00994E57" w:rsidRPr="004F00A1" w:rsidRDefault="00994E57" w:rsidP="00BF632A">
      <w:pPr>
        <w:pStyle w:val="ListParagraph"/>
        <w:numPr>
          <w:ilvl w:val="0"/>
          <w:numId w:val="4"/>
        </w:numPr>
        <w:jc w:val="both"/>
      </w:pPr>
      <w:r w:rsidRPr="004F00A1">
        <w:t xml:space="preserve">участие на бизнеса в самото обучение с гост преподаватели, които според закона могат да извеждат занятия. </w:t>
      </w:r>
    </w:p>
    <w:p w14:paraId="39902525" w14:textId="4B5C8A22" w:rsidR="00994E57" w:rsidRPr="004F00A1" w:rsidRDefault="00994E57" w:rsidP="00BF632A">
      <w:pPr>
        <w:jc w:val="both"/>
        <w:rPr>
          <w:rFonts w:eastAsia="Times New Roman"/>
          <w:lang w:eastAsia="bg-BG"/>
        </w:rPr>
      </w:pPr>
      <w:r w:rsidRPr="004F00A1">
        <w:rPr>
          <w:rFonts w:eastAsia="Times New Roman"/>
          <w:lang w:eastAsia="bg-BG"/>
        </w:rPr>
        <w:t xml:space="preserve">Сдружението подпомага синхронизиране на учебните програми с реалните потребности на бизнеса. Представители на фирмите  участват и като членове на държавните изпитни комисии в Университета по хранителни технологии. </w:t>
      </w:r>
    </w:p>
    <w:p w14:paraId="69EDD0E2" w14:textId="42D9C9AC" w:rsidR="00994E57" w:rsidRDefault="002E58F2" w:rsidP="00BF632A">
      <w:pPr>
        <w:jc w:val="both"/>
        <w:rPr>
          <w:rStyle w:val="Hyperlink"/>
          <w:rFonts w:cstheme="minorHAnsi"/>
          <w:sz w:val="26"/>
          <w:szCs w:val="26"/>
        </w:rPr>
      </w:pPr>
      <w:hyperlink r:id="rId9" w:history="1">
        <w:r w:rsidR="00614F63" w:rsidRPr="004F00A1">
          <w:rPr>
            <w:rStyle w:val="Hyperlink"/>
            <w:rFonts w:cstheme="minorHAnsi"/>
            <w:sz w:val="26"/>
            <w:szCs w:val="26"/>
          </w:rPr>
          <w:t>https://uft-plovdiv.bg/</w:t>
        </w:r>
      </w:hyperlink>
    </w:p>
    <w:p w14:paraId="381A9105" w14:textId="3E59F61E" w:rsidR="004F00A1" w:rsidRDefault="004F00A1" w:rsidP="00BF632A">
      <w:pPr>
        <w:jc w:val="both"/>
        <w:rPr>
          <w:rStyle w:val="Hyperlink"/>
          <w:rFonts w:cstheme="minorHAnsi"/>
          <w:sz w:val="26"/>
          <w:szCs w:val="26"/>
        </w:rPr>
      </w:pPr>
      <w:r w:rsidRPr="004F00A1">
        <w:rPr>
          <w:rStyle w:val="Hyperlink"/>
          <w:rFonts w:cstheme="minorHAnsi"/>
          <w:sz w:val="26"/>
          <w:szCs w:val="26"/>
          <w:u w:val="none"/>
        </w:rPr>
        <w:t>проф. Йорданка Алексиева</w:t>
      </w:r>
      <w:r>
        <w:rPr>
          <w:rStyle w:val="Hyperlink"/>
          <w:rFonts w:cstheme="minorHAnsi"/>
          <w:sz w:val="26"/>
          <w:szCs w:val="26"/>
        </w:rPr>
        <w:t xml:space="preserve">  </w:t>
      </w:r>
      <w:hyperlink r:id="rId10" w:history="1">
        <w:r w:rsidRPr="00A759CD">
          <w:rPr>
            <w:rStyle w:val="Hyperlink"/>
            <w:rFonts w:cstheme="minorHAnsi"/>
            <w:sz w:val="26"/>
            <w:szCs w:val="26"/>
          </w:rPr>
          <w:t>mailto:tourismexam@abv.bg</w:t>
        </w:r>
      </w:hyperlink>
      <w:r>
        <w:rPr>
          <w:rStyle w:val="Hyperlink"/>
          <w:rFonts w:cstheme="minorHAnsi"/>
          <w:sz w:val="26"/>
          <w:szCs w:val="26"/>
        </w:rPr>
        <w:t xml:space="preserve"> </w:t>
      </w:r>
      <w:r w:rsidRPr="004F00A1">
        <w:rPr>
          <w:rStyle w:val="Hyperlink"/>
          <w:rFonts w:cstheme="minorHAnsi"/>
          <w:sz w:val="26"/>
          <w:szCs w:val="26"/>
        </w:rPr>
        <w:t>abv.bg</w:t>
      </w:r>
    </w:p>
    <w:p w14:paraId="1C93C97D" w14:textId="1AD6F09F" w:rsidR="004F00A1" w:rsidRPr="004F00A1" w:rsidRDefault="004F00A1" w:rsidP="00BF632A">
      <w:pPr>
        <w:jc w:val="both"/>
        <w:rPr>
          <w:szCs w:val="26"/>
          <w:lang w:val="en-GB"/>
        </w:rPr>
      </w:pPr>
    </w:p>
    <w:p w14:paraId="63736323" w14:textId="77777777" w:rsidR="0072068B" w:rsidRPr="0072068B" w:rsidRDefault="0072068B" w:rsidP="00BF632A">
      <w:pPr>
        <w:jc w:val="both"/>
        <w:rPr>
          <w:sz w:val="26"/>
          <w:szCs w:val="26"/>
        </w:rPr>
      </w:pPr>
    </w:p>
    <w:p w14:paraId="5CAF2B47" w14:textId="6F2F7358" w:rsidR="00A71F04" w:rsidRPr="00CC1C9E" w:rsidRDefault="00A71F04" w:rsidP="00CD3734">
      <w:pPr>
        <w:pStyle w:val="Heading1"/>
        <w:rPr>
          <w:sz w:val="24"/>
          <w:szCs w:val="24"/>
        </w:rPr>
      </w:pPr>
      <w:bookmarkStart w:id="4" w:name="_Toc26808057"/>
      <w:r w:rsidRPr="00900EF4">
        <w:rPr>
          <w:lang w:val="en-GB"/>
        </w:rPr>
        <w:t>3</w:t>
      </w:r>
      <w:r w:rsidRPr="00CC1C9E">
        <w:rPr>
          <w:sz w:val="24"/>
          <w:szCs w:val="24"/>
          <w:lang w:val="en-GB"/>
        </w:rPr>
        <w:t xml:space="preserve">. </w:t>
      </w:r>
      <w:r w:rsidR="00994E57" w:rsidRPr="00B46CCA">
        <w:t>Алианс</w:t>
      </w:r>
      <w:r w:rsidR="00994E57" w:rsidRPr="00CC1C9E">
        <w:rPr>
          <w:lang w:val="en-GB"/>
        </w:rPr>
        <w:t xml:space="preserve"> за </w:t>
      </w:r>
      <w:r w:rsidR="004F00A1" w:rsidRPr="00B46CCA">
        <w:t>заетост</w:t>
      </w:r>
      <w:r w:rsidR="004F00A1" w:rsidRPr="00CC1C9E">
        <w:t xml:space="preserve"> -</w:t>
      </w:r>
      <w:r w:rsidR="00F27291" w:rsidRPr="00CC1C9E">
        <w:t xml:space="preserve"> </w:t>
      </w:r>
      <w:r w:rsidR="00994E57" w:rsidRPr="00CC1C9E">
        <w:t xml:space="preserve">проект, финансиран по </w:t>
      </w:r>
      <w:r w:rsidR="004F00A1" w:rsidRPr="00CC1C9E">
        <w:t>програма</w:t>
      </w:r>
      <w:r w:rsidR="00AD3A71">
        <w:t xml:space="preserve"> </w:t>
      </w:r>
      <w:r w:rsidR="004F00A1" w:rsidRPr="00AD3A71">
        <w:rPr>
          <w:lang w:val="en-US"/>
        </w:rPr>
        <w:t>Еразъм</w:t>
      </w:r>
      <w:r w:rsidR="00994E57" w:rsidRPr="004F00A1">
        <w:rPr>
          <w:position w:val="6"/>
        </w:rPr>
        <w:t xml:space="preserve"> +</w:t>
      </w:r>
      <w:r w:rsidR="00F27291" w:rsidRPr="00CC1C9E">
        <w:t xml:space="preserve"> (Ирландия)</w:t>
      </w:r>
      <w:bookmarkEnd w:id="4"/>
    </w:p>
    <w:p w14:paraId="471C1C68" w14:textId="77777777" w:rsidR="00994E57" w:rsidRPr="00CC1C9E" w:rsidRDefault="00A71F04" w:rsidP="00BF632A">
      <w:pPr>
        <w:jc w:val="both"/>
      </w:pPr>
      <w:r w:rsidRPr="0072068B">
        <w:t>Р</w:t>
      </w:r>
      <w:r w:rsidR="00994E57" w:rsidRPr="0072068B">
        <w:t xml:space="preserve">азработен </w:t>
      </w:r>
      <w:r w:rsidRPr="0072068B">
        <w:t xml:space="preserve">е </w:t>
      </w:r>
      <w:r w:rsidR="00994E57" w:rsidRPr="0072068B">
        <w:t>на базата на добри практики за намиране на решения за преодоляване</w:t>
      </w:r>
      <w:r w:rsidR="00994E57" w:rsidRPr="00CC1C9E">
        <w:t xml:space="preserve"> на несъответствието между търсенето и предлагането на </w:t>
      </w:r>
      <w:r w:rsidR="00F27291" w:rsidRPr="00CC1C9E">
        <w:t>кадри за пазара на труда</w:t>
      </w:r>
      <w:r w:rsidR="00994E57" w:rsidRPr="00CC1C9E">
        <w:t xml:space="preserve"> в даден регион (</w:t>
      </w:r>
      <w:r w:rsidR="00994E57" w:rsidRPr="00CC1C9E">
        <w:rPr>
          <w:lang w:val="en-US"/>
        </w:rPr>
        <w:t>E</w:t>
      </w:r>
      <w:r w:rsidR="00994E57" w:rsidRPr="00CC1C9E">
        <w:t>mployment Alliance 2015</w:t>
      </w:r>
      <w:r w:rsidR="00994E57" w:rsidRPr="00CC1C9E">
        <w:rPr>
          <w:lang w:val="en-US"/>
        </w:rPr>
        <w:t>)</w:t>
      </w:r>
      <w:r w:rsidR="00F27291" w:rsidRPr="00CC1C9E">
        <w:t xml:space="preserve">. </w:t>
      </w:r>
    </w:p>
    <w:p w14:paraId="0A851044" w14:textId="77777777" w:rsidR="004F00A1" w:rsidRDefault="00994E57" w:rsidP="00BF632A">
      <w:pPr>
        <w:jc w:val="both"/>
      </w:pPr>
      <w:r w:rsidRPr="00CC1C9E">
        <w:t>Проектът създава два регионални съюза за заетост и образование</w:t>
      </w:r>
      <w:r w:rsidRPr="00CC1C9E">
        <w:rPr>
          <w:lang w:val="en-US"/>
        </w:rPr>
        <w:t xml:space="preserve"> </w:t>
      </w:r>
      <w:r w:rsidRPr="00CC1C9E">
        <w:t xml:space="preserve">за проучване на структурните проблеми, които </w:t>
      </w:r>
      <w:r w:rsidR="00F27291" w:rsidRPr="00CC1C9E">
        <w:t>предизвикват</w:t>
      </w:r>
      <w:r w:rsidRPr="00CC1C9E">
        <w:t xml:space="preserve"> несъответствие между уменията</w:t>
      </w:r>
      <w:r w:rsidR="00F27291" w:rsidRPr="00CC1C9E">
        <w:t xml:space="preserve"> на завършващите студенти и изискванията на регионалния бизнес</w:t>
      </w:r>
      <w:r w:rsidRPr="00CC1C9E">
        <w:t>, инвентаризира съществуващи ресурси и се ангажира със съвместни действия за справяне с тези проблеми. Процесът и научените уроци са систематизирани под формата на инструментариум за изграждане на Алианс на заетостта, който се разпространява като средство за възпроизвеждане на подобни съюзи в други региони</w:t>
      </w:r>
      <w:r w:rsidR="00F27291" w:rsidRPr="00CC1C9E">
        <w:t xml:space="preserve"> на страната</w:t>
      </w:r>
      <w:r w:rsidRPr="00CC1C9E">
        <w:t>.</w:t>
      </w:r>
      <w:bookmarkStart w:id="5" w:name="_Toc18360857"/>
    </w:p>
    <w:p w14:paraId="16632EF5" w14:textId="0A68E3B1" w:rsidR="00994E57" w:rsidRPr="00CC1C9E" w:rsidRDefault="00994E57" w:rsidP="00BF632A">
      <w:pPr>
        <w:jc w:val="both"/>
      </w:pPr>
      <w:r w:rsidRPr="004F00A1">
        <w:rPr>
          <w:rFonts w:cstheme="minorHAnsi"/>
          <w:b/>
          <w:bCs/>
        </w:rPr>
        <w:t>Инструментариум за създаване на Алианс за заетост</w:t>
      </w:r>
      <w:bookmarkEnd w:id="5"/>
      <w:r w:rsidR="004F00A1">
        <w:rPr>
          <w:rFonts w:cstheme="minorHAnsi"/>
          <w:b/>
          <w:bCs/>
        </w:rPr>
        <w:t xml:space="preserve">. </w:t>
      </w:r>
      <w:r w:rsidR="004F00A1" w:rsidRPr="00CC1C9E">
        <w:t xml:space="preserve">Основен проблем </w:t>
      </w:r>
      <w:r w:rsidRPr="00CC1C9E">
        <w:t xml:space="preserve"> за липсата на квалифицирани кадри за пазара на труда е така нареченото „несъответствие на уменията”</w:t>
      </w:r>
      <w:r w:rsidRPr="00CC1C9E">
        <w:rPr>
          <w:lang w:val="en-US"/>
        </w:rPr>
        <w:t>(skills mismatch)</w:t>
      </w:r>
      <w:r w:rsidRPr="00CC1C9E">
        <w:t xml:space="preserve"> т.е. несъответствие между търсенето</w:t>
      </w:r>
      <w:r w:rsidR="004F00A1">
        <w:t xml:space="preserve"> на кадри с определена квалификация и умения, </w:t>
      </w:r>
      <w:r w:rsidRPr="00CC1C9E">
        <w:t xml:space="preserve"> и предлагането на </w:t>
      </w:r>
      <w:r w:rsidR="004F00A1">
        <w:t>такива</w:t>
      </w:r>
      <w:r w:rsidRPr="00CC1C9E">
        <w:t xml:space="preserve"> в даден регион.</w:t>
      </w:r>
      <w:r w:rsidR="004F00A1">
        <w:t xml:space="preserve"> </w:t>
      </w:r>
      <w:r w:rsidRPr="00CC1C9E">
        <w:rPr>
          <w:rFonts w:eastAsia="Times New Roman"/>
          <w:lang w:eastAsia="bg-BG"/>
        </w:rPr>
        <w:t xml:space="preserve">За да се намерят решения за преодоляване на проблема с несъответствието на уменията, </w:t>
      </w:r>
      <w:r w:rsidR="004F00A1">
        <w:rPr>
          <w:rFonts w:eastAsia="Times New Roman"/>
          <w:lang w:eastAsia="bg-BG"/>
        </w:rPr>
        <w:t>са създадени</w:t>
      </w:r>
      <w:r w:rsidRPr="00CC1C9E">
        <w:rPr>
          <w:rFonts w:eastAsia="Times New Roman"/>
          <w:lang w:eastAsia="bg-BG"/>
        </w:rPr>
        <w:t xml:space="preserve"> регионални съюзи/алианси за образование и заетост, които предлагат нов подход за справяне с намирането на подходяща работа на младите в съответните региони. Всеки съюз обединява съответните заинтересовани страни, засегнати от проблема, т.е. ключови участници от предлагащите професионално образование и обучение, университети и висши училища, бизнес, предприятия, местни и регионални власти и законодателни органи, отговорни за заетостта и икономическото развитие, както и представители на работодателите (Търговски палати, Федерация за малък бизнес и др.).</w:t>
      </w:r>
      <w:r w:rsidR="004F00A1">
        <w:rPr>
          <w:rFonts w:eastAsia="Times New Roman"/>
          <w:lang w:eastAsia="bg-BG"/>
        </w:rPr>
        <w:t xml:space="preserve"> </w:t>
      </w:r>
      <w:r w:rsidRPr="00CC1C9E">
        <w:t>Заинтересованите участници си сътрудничат за намиране на   решения, които помагат за преодоляване на общите предизвикателства и извършват съвместни дейности. Разработват се планове за действие, съдържащи конкретни мерки за справяне с проблема за несъответствие между търсенето и предлагането на човешки капитал.</w:t>
      </w:r>
      <w:r w:rsidR="00BF632A">
        <w:t xml:space="preserve"> </w:t>
      </w:r>
      <w:r w:rsidRPr="00CC1C9E">
        <w:t xml:space="preserve">Предприетите мерки са обобщени в инструментариум, който представлява ръководство с описани последователни  дейности, които ще доведат до решаването на даден проблем. </w:t>
      </w:r>
    </w:p>
    <w:p w14:paraId="760D2A4B" w14:textId="77777777" w:rsidR="00994E57" w:rsidRPr="00CC1C9E" w:rsidRDefault="00994E57" w:rsidP="00BF632A">
      <w:pPr>
        <w:jc w:val="both"/>
      </w:pPr>
      <w:r w:rsidRPr="00CC1C9E">
        <w:t xml:space="preserve">Създаването на алианса се предхожда от анализ на ситуацията в региона по отношение на търсенето и предлагането на работна сила.  </w:t>
      </w:r>
    </w:p>
    <w:p w14:paraId="721C6F69" w14:textId="77777777" w:rsidR="004C4B4A" w:rsidRDefault="002E58F2" w:rsidP="00BF632A">
      <w:pPr>
        <w:spacing w:after="0" w:line="240" w:lineRule="auto"/>
        <w:jc w:val="both"/>
      </w:pPr>
      <w:hyperlink r:id="rId11" w:tgtFrame="_blank" w:history="1">
        <w:r w:rsidR="00CC1C9E" w:rsidRPr="00CC1C9E">
          <w:rPr>
            <w:rStyle w:val="Hyperlink"/>
            <w:rFonts w:cstheme="minorHAnsi"/>
            <w:color w:val="4472C4" w:themeColor="accent1"/>
            <w:sz w:val="24"/>
            <w:szCs w:val="24"/>
          </w:rPr>
          <w:t>http://www.employmentalliance.eu</w:t>
        </w:r>
      </w:hyperlink>
      <w:r w:rsidR="005C5514">
        <w:t xml:space="preserve"> </w:t>
      </w:r>
    </w:p>
    <w:p w14:paraId="47EB0C33" w14:textId="77777777" w:rsidR="00CC1C9E" w:rsidRPr="00CC1C9E" w:rsidRDefault="002E58F2" w:rsidP="00BF632A">
      <w:pPr>
        <w:spacing w:after="0" w:line="240" w:lineRule="auto"/>
        <w:jc w:val="both"/>
        <w:rPr>
          <w:color w:val="4472C4" w:themeColor="accent1"/>
        </w:rPr>
      </w:pPr>
      <w:hyperlink r:id="rId12" w:tgtFrame="_blank" w:history="1">
        <w:r w:rsidR="00CC1C9E" w:rsidRPr="00CC1C9E">
          <w:rPr>
            <w:color w:val="4472C4" w:themeColor="accent1"/>
            <w:u w:val="single"/>
          </w:rPr>
          <w:t>https://www.localenterprise.ie/Louth/</w:t>
        </w:r>
      </w:hyperlink>
    </w:p>
    <w:p w14:paraId="1F3FE083" w14:textId="77777777" w:rsidR="004C4B4A" w:rsidRDefault="002E58F2" w:rsidP="00BF632A">
      <w:pPr>
        <w:spacing w:after="0" w:line="240" w:lineRule="auto"/>
        <w:jc w:val="both"/>
      </w:pPr>
      <w:hyperlink r:id="rId13" w:tgtFrame="_blank" w:history="1">
        <w:r w:rsidR="00CC1C9E" w:rsidRPr="00CC1C9E">
          <w:rPr>
            <w:color w:val="4472C4" w:themeColor="accent1"/>
            <w:u w:val="single"/>
          </w:rPr>
          <w:t>http://www.meath.ie/</w:t>
        </w:r>
      </w:hyperlink>
    </w:p>
    <w:p w14:paraId="7094CF37" w14:textId="77777777" w:rsidR="00CC1C9E" w:rsidRPr="00CC1C9E" w:rsidRDefault="002E58F2" w:rsidP="00BF632A">
      <w:pPr>
        <w:spacing w:after="0" w:line="240" w:lineRule="auto"/>
        <w:jc w:val="both"/>
        <w:rPr>
          <w:color w:val="4472C4" w:themeColor="accent1"/>
        </w:rPr>
      </w:pPr>
      <w:hyperlink r:id="rId14" w:tgtFrame="_blank" w:history="1">
        <w:r w:rsidR="00CC1C9E" w:rsidRPr="00CC1C9E">
          <w:rPr>
            <w:color w:val="4472C4" w:themeColor="accent1"/>
            <w:u w:val="single"/>
          </w:rPr>
          <w:t>http://www.pearltrees.com/mindshare2000</w:t>
        </w:r>
      </w:hyperlink>
    </w:p>
    <w:p w14:paraId="17DE51B7" w14:textId="77777777" w:rsidR="00CC1C9E" w:rsidRPr="0072068B" w:rsidRDefault="002E58F2" w:rsidP="00BF632A">
      <w:pPr>
        <w:jc w:val="both"/>
        <w:rPr>
          <w:sz w:val="26"/>
          <w:szCs w:val="26"/>
        </w:rPr>
      </w:pPr>
      <w:hyperlink r:id="rId15" w:tgtFrame="_blank" w:history="1">
        <w:r w:rsidR="00CC1C9E" w:rsidRPr="0072068B">
          <w:rPr>
            <w:rStyle w:val="Hyperlink"/>
            <w:rFonts w:cstheme="minorHAnsi"/>
            <w:sz w:val="26"/>
            <w:szCs w:val="26"/>
          </w:rPr>
          <w:t>http://www.caniceconsulting.com/</w:t>
        </w:r>
      </w:hyperlink>
    </w:p>
    <w:p w14:paraId="46F1A023" w14:textId="61B8749F" w:rsidR="0072068B" w:rsidRDefault="0072068B" w:rsidP="00BF632A">
      <w:pPr>
        <w:jc w:val="both"/>
      </w:pPr>
    </w:p>
    <w:p w14:paraId="7C5EDFAF" w14:textId="77777777" w:rsidR="00340CFD" w:rsidRPr="00CC1C9E" w:rsidRDefault="00340CFD" w:rsidP="00BF632A">
      <w:pPr>
        <w:jc w:val="both"/>
      </w:pPr>
    </w:p>
    <w:p w14:paraId="0A14DC70" w14:textId="77777777" w:rsidR="00CD3734" w:rsidRDefault="004C4B4A" w:rsidP="00CD3734">
      <w:pPr>
        <w:pStyle w:val="Heading1"/>
      </w:pPr>
      <w:bookmarkStart w:id="6" w:name="_Toc26808058"/>
      <w:r w:rsidRPr="00CD3734">
        <w:t>4</w:t>
      </w:r>
      <w:r w:rsidR="00921612" w:rsidRPr="00CD3734">
        <w:rPr>
          <w:rStyle w:val="Heading1Char"/>
          <w:b/>
          <w:bCs/>
        </w:rPr>
        <w:t xml:space="preserve">. </w:t>
      </w:r>
      <w:r w:rsidR="00CF0CDD" w:rsidRPr="00CD3734">
        <w:rPr>
          <w:rStyle w:val="Heading1Char"/>
          <w:b/>
          <w:bCs/>
        </w:rPr>
        <w:t xml:space="preserve">Университета и </w:t>
      </w:r>
      <w:r w:rsidR="00D25F98" w:rsidRPr="00CD3734">
        <w:rPr>
          <w:rStyle w:val="Heading1Char"/>
          <w:b/>
          <w:bCs/>
        </w:rPr>
        <w:t>фондацията</w:t>
      </w:r>
      <w:r w:rsidR="00CF0CDD" w:rsidRPr="00CD3734">
        <w:rPr>
          <w:rStyle w:val="Heading1Char"/>
          <w:b/>
          <w:bCs/>
        </w:rPr>
        <w:t xml:space="preserve"> </w:t>
      </w:r>
      <w:r w:rsidR="00A72305" w:rsidRPr="00CD3734">
        <w:rPr>
          <w:rStyle w:val="Heading1Char"/>
          <w:b/>
          <w:bCs/>
        </w:rPr>
        <w:t xml:space="preserve"> </w:t>
      </w:r>
      <w:proofErr w:type="spellStart"/>
      <w:r w:rsidR="00A72305" w:rsidRPr="00CD3734">
        <w:rPr>
          <w:rStyle w:val="Heading1Char"/>
          <w:b/>
          <w:bCs/>
        </w:rPr>
        <w:t>Kennispark</w:t>
      </w:r>
      <w:proofErr w:type="spellEnd"/>
      <w:r w:rsidR="00A72305" w:rsidRPr="00CD3734">
        <w:rPr>
          <w:rStyle w:val="Heading1Char"/>
          <w:b/>
          <w:bCs/>
        </w:rPr>
        <w:t xml:space="preserve"> </w:t>
      </w:r>
      <w:proofErr w:type="spellStart"/>
      <w:r w:rsidR="00A72305" w:rsidRPr="00CD3734">
        <w:rPr>
          <w:rStyle w:val="Heading1Char"/>
          <w:b/>
          <w:bCs/>
        </w:rPr>
        <w:t>Twente</w:t>
      </w:r>
      <w:proofErr w:type="spellEnd"/>
      <w:r w:rsidR="004F00A1" w:rsidRPr="00CD3734">
        <w:rPr>
          <w:rStyle w:val="Heading1Char"/>
          <w:b/>
          <w:bCs/>
        </w:rPr>
        <w:t xml:space="preserve"> </w:t>
      </w:r>
      <w:r w:rsidR="00D25F98" w:rsidRPr="00CD3734">
        <w:rPr>
          <w:rStyle w:val="Heading1Char"/>
          <w:b/>
          <w:bCs/>
        </w:rPr>
        <w:t>(Там, където науката става бизнес)</w:t>
      </w:r>
      <w:r w:rsidR="00AD3A71" w:rsidRPr="00CD3734">
        <w:rPr>
          <w:rStyle w:val="Heading1Char"/>
          <w:b/>
          <w:bCs/>
        </w:rPr>
        <w:t xml:space="preserve"> (Холандия)</w:t>
      </w:r>
      <w:bookmarkEnd w:id="6"/>
      <w:r w:rsidR="00BF632A" w:rsidRPr="00CD3734">
        <w:t xml:space="preserve"> </w:t>
      </w:r>
    </w:p>
    <w:p w14:paraId="18C1FE40" w14:textId="0CBAD2DC" w:rsidR="00A72305" w:rsidRPr="00CD3734" w:rsidRDefault="00CD3734" w:rsidP="00CD3734">
      <w:pPr>
        <w:rPr>
          <w:sz w:val="28"/>
          <w:szCs w:val="28"/>
        </w:rPr>
      </w:pPr>
      <w:r>
        <w:t xml:space="preserve">Университетът и Фондацията подпомогнати от местните власти </w:t>
      </w:r>
      <w:r w:rsidR="00CF0CDD" w:rsidRPr="00BF632A">
        <w:t xml:space="preserve">са основните движещи сили в един </w:t>
      </w:r>
      <w:r w:rsidR="00792AEF" w:rsidRPr="00BF632A">
        <w:t xml:space="preserve">до скоро </w:t>
      </w:r>
      <w:r w:rsidR="00CF0CDD" w:rsidRPr="00BF632A">
        <w:t>слабо</w:t>
      </w:r>
      <w:r w:rsidR="00D25F98" w:rsidRPr="00BF632A">
        <w:t xml:space="preserve">развит </w:t>
      </w:r>
      <w:r w:rsidR="00CF0CDD" w:rsidRPr="00BF632A">
        <w:t xml:space="preserve"> регион</w:t>
      </w:r>
      <w:r w:rsidR="00792AEF" w:rsidRPr="00BF632A">
        <w:t xml:space="preserve"> на Холандия</w:t>
      </w:r>
      <w:r w:rsidR="00D25F98" w:rsidRPr="00BF632A">
        <w:t>. С обединените усилия</w:t>
      </w:r>
      <w:r w:rsidR="00792AEF" w:rsidRPr="00BF632A">
        <w:t xml:space="preserve"> на университета и Фондацията и участието на всички заинтересовани регионални страни,  </w:t>
      </w:r>
      <w:r w:rsidR="00D25F98" w:rsidRPr="00BF632A">
        <w:t xml:space="preserve"> в региона са открити около 100 </w:t>
      </w:r>
      <w:proofErr w:type="spellStart"/>
      <w:r w:rsidR="00D25F98" w:rsidRPr="00BF632A">
        <w:t>стартъп</w:t>
      </w:r>
      <w:proofErr w:type="spellEnd"/>
      <w:r w:rsidR="00D25F98" w:rsidRPr="00BF632A">
        <w:t xml:space="preserve"> бизнеси, около 1000 спин-</w:t>
      </w:r>
      <w:proofErr w:type="spellStart"/>
      <w:r w:rsidR="00D25F98" w:rsidRPr="00BF632A">
        <w:t>оф</w:t>
      </w:r>
      <w:proofErr w:type="spellEnd"/>
      <w:r w:rsidR="00D25F98" w:rsidRPr="00BF632A">
        <w:t xml:space="preserve"> компании с около 10 000 работни места</w:t>
      </w:r>
      <w:r w:rsidR="00792AEF" w:rsidRPr="00BF632A">
        <w:t xml:space="preserve"> – всички на основата на научни разработки на университета и на високата квалификация на завършващите студенти в областите от регионален интерес. </w:t>
      </w:r>
    </w:p>
    <w:p w14:paraId="6543984B" w14:textId="77777777" w:rsidR="00FC7225" w:rsidRPr="000D791E" w:rsidRDefault="002E58F2" w:rsidP="00CD3734">
      <w:pPr>
        <w:rPr>
          <w:sz w:val="26"/>
          <w:szCs w:val="26"/>
          <w:lang w:val="en-GB"/>
        </w:rPr>
      </w:pPr>
      <w:hyperlink r:id="rId16" w:history="1">
        <w:r w:rsidR="00FC7225" w:rsidRPr="000D791E">
          <w:rPr>
            <w:rStyle w:val="Hyperlink"/>
            <w:rFonts w:cstheme="minorHAnsi"/>
            <w:sz w:val="26"/>
            <w:szCs w:val="26"/>
            <w:lang w:val="en-GB"/>
          </w:rPr>
          <w:t>https://www.utwente.nl/en/</w:t>
        </w:r>
      </w:hyperlink>
      <w:r w:rsidR="0072068B" w:rsidRPr="000D791E">
        <w:rPr>
          <w:sz w:val="26"/>
          <w:szCs w:val="26"/>
        </w:rPr>
        <w:t>,</w:t>
      </w:r>
      <w:r w:rsidR="00FC7225" w:rsidRPr="000D791E">
        <w:rPr>
          <w:sz w:val="26"/>
          <w:szCs w:val="26"/>
          <w:lang w:val="en-GB"/>
        </w:rPr>
        <w:t xml:space="preserve">  </w:t>
      </w:r>
      <w:hyperlink r:id="rId17" w:history="1">
        <w:r w:rsidR="00FC7225" w:rsidRPr="000D791E">
          <w:rPr>
            <w:rStyle w:val="Hyperlink"/>
            <w:rFonts w:cstheme="minorHAnsi"/>
            <w:sz w:val="26"/>
            <w:szCs w:val="26"/>
            <w:lang w:val="en-GB"/>
          </w:rPr>
          <w:t>https://kennispark.nl/nl/</w:t>
        </w:r>
      </w:hyperlink>
      <w:r w:rsidR="00FC7225" w:rsidRPr="000D791E">
        <w:rPr>
          <w:sz w:val="26"/>
          <w:szCs w:val="26"/>
          <w:lang w:val="en-GB"/>
        </w:rPr>
        <w:t xml:space="preserve"> </w:t>
      </w:r>
    </w:p>
    <w:p w14:paraId="6D36542E" w14:textId="77777777" w:rsidR="00FC7225" w:rsidRPr="000D791E" w:rsidRDefault="00FC7225" w:rsidP="00BF632A">
      <w:pPr>
        <w:spacing w:after="0"/>
        <w:jc w:val="both"/>
        <w:rPr>
          <w:rFonts w:cstheme="minorHAnsi"/>
          <w:sz w:val="26"/>
          <w:szCs w:val="26"/>
          <w:lang w:val="en-GB"/>
        </w:rPr>
      </w:pPr>
      <w:r w:rsidRPr="000D791E">
        <w:rPr>
          <w:rFonts w:cstheme="minorHAnsi"/>
          <w:sz w:val="26"/>
          <w:szCs w:val="26"/>
          <w:lang w:val="en-GB"/>
        </w:rPr>
        <w:t xml:space="preserve"> </w:t>
      </w:r>
      <w:hyperlink r:id="rId18" w:history="1">
        <w:r w:rsidRPr="000D791E">
          <w:rPr>
            <w:rStyle w:val="Hyperlink"/>
            <w:rFonts w:cstheme="minorHAnsi"/>
            <w:sz w:val="26"/>
            <w:szCs w:val="26"/>
            <w:lang w:val="en-GB"/>
          </w:rPr>
          <w:t>https://heinnovate.eu/resource/entrepre-neurship-development-university-twente</w:t>
        </w:r>
      </w:hyperlink>
      <w:r w:rsidRPr="000D791E">
        <w:rPr>
          <w:rFonts w:cstheme="minorHAnsi"/>
          <w:sz w:val="26"/>
          <w:szCs w:val="26"/>
          <w:lang w:val="en-GB"/>
        </w:rPr>
        <w:t xml:space="preserve">    </w:t>
      </w:r>
    </w:p>
    <w:p w14:paraId="584847DE" w14:textId="77777777" w:rsidR="005C5514" w:rsidRPr="000D791E" w:rsidRDefault="00FC7225" w:rsidP="00BF632A">
      <w:pPr>
        <w:jc w:val="both"/>
        <w:rPr>
          <w:sz w:val="26"/>
          <w:szCs w:val="26"/>
        </w:rPr>
      </w:pPr>
      <w:proofErr w:type="spellStart"/>
      <w:r w:rsidRPr="000D791E">
        <w:rPr>
          <w:rFonts w:cstheme="minorHAnsi"/>
          <w:sz w:val="26"/>
          <w:szCs w:val="26"/>
          <w:lang w:val="en-GB"/>
        </w:rPr>
        <w:t>Kees</w:t>
      </w:r>
      <w:proofErr w:type="spellEnd"/>
      <w:r w:rsidRPr="000D791E">
        <w:rPr>
          <w:rFonts w:cstheme="minorHAnsi"/>
          <w:sz w:val="26"/>
          <w:szCs w:val="26"/>
          <w:lang w:val="en-GB"/>
        </w:rPr>
        <w:t xml:space="preserve"> </w:t>
      </w:r>
      <w:proofErr w:type="spellStart"/>
      <w:r w:rsidRPr="000D791E">
        <w:rPr>
          <w:rFonts w:cstheme="minorHAnsi"/>
          <w:sz w:val="26"/>
          <w:szCs w:val="26"/>
          <w:lang w:val="en-GB"/>
        </w:rPr>
        <w:t>Eijkel</w:t>
      </w:r>
      <w:proofErr w:type="spellEnd"/>
      <w:r w:rsidRPr="000D791E">
        <w:rPr>
          <w:rFonts w:cstheme="minorHAnsi"/>
          <w:sz w:val="26"/>
          <w:szCs w:val="26"/>
          <w:lang w:val="en-GB"/>
        </w:rPr>
        <w:t xml:space="preserve">, Chairman </w:t>
      </w:r>
      <w:proofErr w:type="spellStart"/>
      <w:r w:rsidRPr="000D791E">
        <w:rPr>
          <w:rFonts w:cstheme="minorHAnsi"/>
          <w:sz w:val="26"/>
          <w:szCs w:val="26"/>
          <w:lang w:val="en-GB"/>
        </w:rPr>
        <w:t>Kennispark</w:t>
      </w:r>
      <w:proofErr w:type="spellEnd"/>
      <w:r w:rsidRPr="000D791E">
        <w:rPr>
          <w:rFonts w:cstheme="minorHAnsi"/>
          <w:sz w:val="26"/>
          <w:szCs w:val="26"/>
          <w:lang w:val="en-GB"/>
        </w:rPr>
        <w:t xml:space="preserve"> </w:t>
      </w:r>
      <w:hyperlink r:id="rId19" w:history="1">
        <w:r w:rsidRPr="000D791E">
          <w:rPr>
            <w:rStyle w:val="Hyperlink"/>
            <w:rFonts w:cstheme="minorHAnsi"/>
            <w:sz w:val="26"/>
            <w:szCs w:val="26"/>
            <w:lang w:val="en-GB"/>
          </w:rPr>
          <w:t>k.eijkel@kennispark.nl</w:t>
        </w:r>
      </w:hyperlink>
    </w:p>
    <w:p w14:paraId="67FA03DC" w14:textId="77777777" w:rsidR="0072068B" w:rsidRDefault="0072068B" w:rsidP="00BF632A">
      <w:pPr>
        <w:jc w:val="both"/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7D73048E" w14:textId="2FDD8358" w:rsidR="005C5514" w:rsidRDefault="004C4B4A" w:rsidP="00CD3734">
      <w:pPr>
        <w:pStyle w:val="Heading1"/>
        <w:rPr>
          <w:sz w:val="24"/>
          <w:szCs w:val="24"/>
        </w:rPr>
      </w:pPr>
      <w:bookmarkStart w:id="7" w:name="_Toc26808059"/>
      <w:r>
        <w:t>5</w:t>
      </w:r>
      <w:r w:rsidR="00CF0CDD" w:rsidRPr="00900EF4">
        <w:rPr>
          <w:lang w:val="en-GB"/>
        </w:rPr>
        <w:t xml:space="preserve">. </w:t>
      </w:r>
      <w:r w:rsidR="00AD3A71">
        <w:t>Д</w:t>
      </w:r>
      <w:r w:rsidR="00792AEF" w:rsidRPr="00900EF4">
        <w:t xml:space="preserve">ържавна агенция </w:t>
      </w:r>
      <w:proofErr w:type="spellStart"/>
      <w:r w:rsidR="00792AEF" w:rsidRPr="00900EF4">
        <w:t>Vinnova</w:t>
      </w:r>
      <w:proofErr w:type="spellEnd"/>
      <w:r w:rsidR="004D382A" w:rsidRPr="00CC1C9E">
        <w:rPr>
          <w:sz w:val="24"/>
          <w:szCs w:val="24"/>
        </w:rPr>
        <w:t xml:space="preserve"> </w:t>
      </w:r>
      <w:r w:rsidR="00AD3A71" w:rsidRPr="00AD3A71">
        <w:t>(Швеция)</w:t>
      </w:r>
      <w:bookmarkEnd w:id="7"/>
    </w:p>
    <w:p w14:paraId="4082C288" w14:textId="77777777" w:rsidR="000D791E" w:rsidRDefault="005C5514" w:rsidP="00BF632A">
      <w:pPr>
        <w:jc w:val="both"/>
      </w:pPr>
      <w:r>
        <w:t xml:space="preserve">Нейна </w:t>
      </w:r>
      <w:r w:rsidR="00792AEF" w:rsidRPr="00CC1C9E">
        <w:t xml:space="preserve">основна цел </w:t>
      </w:r>
      <w:r>
        <w:t xml:space="preserve">е </w:t>
      </w:r>
      <w:r w:rsidR="00792AEF" w:rsidRPr="00CC1C9E">
        <w:t xml:space="preserve">да развие и </w:t>
      </w:r>
      <w:r w:rsidR="004D382A" w:rsidRPr="00CC1C9E">
        <w:t>подобри качеството</w:t>
      </w:r>
      <w:r w:rsidR="00792AEF" w:rsidRPr="00CC1C9E">
        <w:t xml:space="preserve"> и полезността </w:t>
      </w:r>
      <w:r w:rsidR="00373307" w:rsidRPr="00CC1C9E">
        <w:t>на научните</w:t>
      </w:r>
      <w:r w:rsidR="00792AEF" w:rsidRPr="00CC1C9E">
        <w:t xml:space="preserve"> изследвания и образованието в университетите </w:t>
      </w:r>
      <w:r w:rsidR="00F769B7" w:rsidRPr="00CC1C9E">
        <w:t>като подкрепи</w:t>
      </w:r>
      <w:r w:rsidR="00792AEF" w:rsidRPr="00CC1C9E">
        <w:t xml:space="preserve"> социалната им ангажираност.  </w:t>
      </w:r>
      <w:proofErr w:type="spellStart"/>
      <w:r w:rsidR="00CF0CDD" w:rsidRPr="00CC1C9E">
        <w:t>Vinnova</w:t>
      </w:r>
      <w:proofErr w:type="spellEnd"/>
      <w:r w:rsidR="00CF0CDD" w:rsidRPr="00CC1C9E">
        <w:t xml:space="preserve"> </w:t>
      </w:r>
      <w:r w:rsidR="004D382A" w:rsidRPr="00CC1C9E">
        <w:t xml:space="preserve">подпомага и насърчава по-ефективна колаборация между университетите, бизнеса и обществото, чрез иновативен модел за разпределяне на </w:t>
      </w:r>
      <w:r w:rsidR="00373307" w:rsidRPr="00CC1C9E">
        <w:t>ч</w:t>
      </w:r>
      <w:r w:rsidR="004D382A" w:rsidRPr="00CC1C9E">
        <w:t xml:space="preserve">аст от правителствените </w:t>
      </w:r>
      <w:r w:rsidR="00373307" w:rsidRPr="00CC1C9E">
        <w:t>финансови средства. Моделът се основава на обективна оценка на степента, с която университетите взаимодействат с обществото, вкл. бизнеса, извършвана от международен  панел(комисия) от експерти с университетски и бизнес опит.</w:t>
      </w:r>
    </w:p>
    <w:p w14:paraId="736DBA7D" w14:textId="77777777" w:rsidR="00481ADC" w:rsidRPr="005C5514" w:rsidRDefault="00373307" w:rsidP="00BF632A">
      <w:pPr>
        <w:jc w:val="both"/>
        <w:rPr>
          <w:rStyle w:val="Hyperlink"/>
          <w:rFonts w:cstheme="minorHAnsi"/>
          <w:sz w:val="26"/>
          <w:szCs w:val="26"/>
        </w:rPr>
      </w:pPr>
      <w:r w:rsidRPr="00CC1C9E">
        <w:t xml:space="preserve"> </w:t>
      </w:r>
      <w:hyperlink r:id="rId20" w:history="1">
        <w:r w:rsidR="00481ADC" w:rsidRPr="005C5514">
          <w:rPr>
            <w:rStyle w:val="Hyperlink"/>
            <w:rFonts w:cstheme="minorHAnsi"/>
            <w:sz w:val="26"/>
            <w:szCs w:val="26"/>
          </w:rPr>
          <w:t>https://www.vinnova.se/en/</w:t>
        </w:r>
      </w:hyperlink>
    </w:p>
    <w:p w14:paraId="53983A81" w14:textId="77777777" w:rsidR="000D791E" w:rsidRDefault="000D791E" w:rsidP="00BF632A">
      <w:pPr>
        <w:jc w:val="both"/>
        <w:rPr>
          <w:rFonts w:cstheme="minorHAnsi"/>
          <w:b/>
          <w:color w:val="4472C4" w:themeColor="accent1"/>
          <w:sz w:val="28"/>
          <w:szCs w:val="28"/>
        </w:rPr>
      </w:pPr>
    </w:p>
    <w:p w14:paraId="120952B0" w14:textId="4F91D1C1" w:rsidR="005C5514" w:rsidRPr="005C5514" w:rsidRDefault="004C4B4A" w:rsidP="00CD3734">
      <w:pPr>
        <w:pStyle w:val="Heading1"/>
      </w:pPr>
      <w:bookmarkStart w:id="8" w:name="_Toc26808060"/>
      <w:r>
        <w:t>6</w:t>
      </w:r>
      <w:r w:rsidR="00561B4D" w:rsidRPr="005C5514">
        <w:t xml:space="preserve">. Стратегия за учене през целия живот на Дунавски университет </w:t>
      </w:r>
      <w:proofErr w:type="spellStart"/>
      <w:r w:rsidR="00561B4D" w:rsidRPr="005C5514">
        <w:t>Кремс</w:t>
      </w:r>
      <w:proofErr w:type="spellEnd"/>
      <w:r w:rsidR="00561B4D" w:rsidRPr="005C5514">
        <w:t xml:space="preserve"> Университет за продължаващо образование </w:t>
      </w:r>
      <w:r w:rsidR="00AD3A71">
        <w:t>(</w:t>
      </w:r>
      <w:r w:rsidR="00561B4D" w:rsidRPr="005C5514">
        <w:t>Австрия</w:t>
      </w:r>
      <w:r w:rsidR="00AD3A71">
        <w:t>)</w:t>
      </w:r>
      <w:bookmarkEnd w:id="8"/>
      <w:r w:rsidR="00561B4D" w:rsidRPr="005C5514">
        <w:t xml:space="preserve"> </w:t>
      </w:r>
    </w:p>
    <w:p w14:paraId="0AB5EC07" w14:textId="33DE6CBF" w:rsidR="00561B4D" w:rsidRDefault="00561B4D" w:rsidP="00BF632A">
      <w:pPr>
        <w:jc w:val="both"/>
      </w:pPr>
      <w:r w:rsidRPr="00CC1C9E">
        <w:t xml:space="preserve">Дунавския университет </w:t>
      </w:r>
      <w:proofErr w:type="spellStart"/>
      <w:r w:rsidRPr="00CC1C9E">
        <w:t>Кремс</w:t>
      </w:r>
      <w:proofErr w:type="spellEnd"/>
      <w:r w:rsidRPr="00CC1C9E">
        <w:t xml:space="preserve"> е ангажиран с развитието на следдипломни програми.  Мисията и визията на университета, заедно със съществуващия опит в продължаващото образование, означават, че цялата образователна структура е насочена към конкретните стандарти и изисквания на професионалисти и ръководители на средна възраст</w:t>
      </w:r>
      <w:r w:rsidR="00340CFD">
        <w:t>.</w:t>
      </w:r>
      <w:r w:rsidRPr="00CC1C9E">
        <w:t xml:space="preserve"> Профилът на студентите на Дунавския университет </w:t>
      </w:r>
      <w:proofErr w:type="spellStart"/>
      <w:r w:rsidRPr="00CC1C9E">
        <w:t>Кремс</w:t>
      </w:r>
      <w:proofErr w:type="spellEnd"/>
      <w:r w:rsidRPr="00CC1C9E">
        <w:t xml:space="preserve"> е различен от всеки друг, като повече от 50 от студентите са работили в областта си повече от 10 години, като сега се възползват от по нататъшното развитие на кариерата или професионалната преориентация Университетските курсове са </w:t>
      </w:r>
      <w:r w:rsidRPr="00CC1C9E">
        <w:lastRenderedPageBreak/>
        <w:t xml:space="preserve">специално пригодени към нуждите на работещите професионалисти </w:t>
      </w:r>
      <w:proofErr w:type="spellStart"/>
      <w:r w:rsidRPr="00CC1C9E">
        <w:t>Холистичният</w:t>
      </w:r>
      <w:proofErr w:type="spellEnd"/>
      <w:r w:rsidRPr="00CC1C9E">
        <w:t xml:space="preserve"> подход, специално разработен за продължаващо обучение, дава възможност на студентите да задълбочат своя опит и да засилят своите лични компетенции. </w:t>
      </w:r>
    </w:p>
    <w:p w14:paraId="2A0A1BE9" w14:textId="77777777" w:rsidR="006A5AB2" w:rsidRDefault="006A5AB2" w:rsidP="006A5AB2">
      <w:pPr>
        <w:jc w:val="both"/>
      </w:pPr>
      <w:r>
        <w:t xml:space="preserve">Заинтересованите страни са както следва: </w:t>
      </w:r>
    </w:p>
    <w:p w14:paraId="17DFCC11" w14:textId="70778F2C" w:rsidR="006A5AB2" w:rsidRDefault="006A5AB2" w:rsidP="006A5AB2">
      <w:pPr>
        <w:jc w:val="both"/>
      </w:pPr>
      <w:r w:rsidRPr="006A5AB2">
        <w:rPr>
          <w:b/>
          <w:bCs/>
        </w:rPr>
        <w:t>Студенти</w:t>
      </w:r>
      <w:r>
        <w:rPr>
          <w:b/>
          <w:bCs/>
        </w:rPr>
        <w:t>те</w:t>
      </w:r>
      <w:r>
        <w:t xml:space="preserve"> - по-голямата част от студентите в Дунавския университет </w:t>
      </w:r>
      <w:proofErr w:type="spellStart"/>
      <w:r>
        <w:t>Кремс</w:t>
      </w:r>
      <w:proofErr w:type="spellEnd"/>
      <w:r>
        <w:t xml:space="preserve"> са лица, които или вече са завършили академична степен и / или са придобили богат професионален опит.  </w:t>
      </w:r>
    </w:p>
    <w:p w14:paraId="0DB35BEA" w14:textId="5645123B" w:rsidR="006A5AB2" w:rsidRDefault="006A5AB2" w:rsidP="006A5AB2">
      <w:pPr>
        <w:jc w:val="both"/>
      </w:pPr>
      <w:r w:rsidRPr="006A5AB2">
        <w:rPr>
          <w:b/>
          <w:bCs/>
        </w:rPr>
        <w:t>Бизнесът</w:t>
      </w:r>
      <w:r>
        <w:t xml:space="preserve"> - бизнес партньорите участват активно в процеса на разработване на учебни програми, като информират и консултират университета за техните потребности и предизвикателства, свързани с уменията и компетенциите на завършилите студенти. Потребностите на бизнеса са вплетени в учебните програми, чрез анализ на потребностите и проблемите на частния сектор и се решават чрез съвместно разработване на учебните програми. Представители на компаниите са част от управителния съвет на университета и съветват университета по въпроси, свързани с възможностите за намиране на работа и изграждане на компетентности.</w:t>
      </w:r>
    </w:p>
    <w:p w14:paraId="34D9C6D2" w14:textId="58CFE514" w:rsidR="006A5AB2" w:rsidRDefault="006A5AB2" w:rsidP="006A5AB2">
      <w:pPr>
        <w:jc w:val="both"/>
      </w:pPr>
      <w:r w:rsidRPr="006A5AB2">
        <w:rPr>
          <w:b/>
          <w:bCs/>
        </w:rPr>
        <w:t>Персоналът</w:t>
      </w:r>
      <w:r>
        <w:t xml:space="preserve"> - ръководителите на курса и ръководителите на катедрите отговарят за създаването на стратегически бизнес партньорства. Предварително от ръководителите на курсове се очаква да извършат цялостен анализ на потребностите и проблемите, пред които са изправени компаниите, както и анализ на иновативния потенциал и очакваната стойност, които едно сътрудничество може да осигури. </w:t>
      </w:r>
    </w:p>
    <w:p w14:paraId="60FC8FCE" w14:textId="2E0C95E0" w:rsidR="006A5AB2" w:rsidRPr="006A5AB2" w:rsidRDefault="006A5AB2" w:rsidP="006A5AB2">
      <w:pPr>
        <w:jc w:val="both"/>
      </w:pPr>
      <w:r w:rsidRPr="006A5AB2">
        <w:rPr>
          <w:b/>
          <w:bCs/>
        </w:rPr>
        <w:t>Регионално правителство</w:t>
      </w:r>
      <w:r>
        <w:rPr>
          <w:b/>
          <w:bCs/>
        </w:rPr>
        <w:t xml:space="preserve"> – </w:t>
      </w:r>
      <w:r w:rsidRPr="006A5AB2">
        <w:t>което създава благоприятна среда за осъществяване на партньорството бизнес-университет</w:t>
      </w:r>
      <w:r>
        <w:t>.</w:t>
      </w:r>
    </w:p>
    <w:p w14:paraId="6C387F1B" w14:textId="0DA30D80" w:rsidR="006A5AB2" w:rsidRPr="006A5AB2" w:rsidRDefault="006A5AB2" w:rsidP="006A5AB2">
      <w:pPr>
        <w:jc w:val="both"/>
      </w:pPr>
      <w:r>
        <w:t>Е</w:t>
      </w:r>
      <w:r w:rsidRPr="006A5AB2">
        <w:t>динадесе</w:t>
      </w:r>
      <w:r>
        <w:t>т</w:t>
      </w:r>
      <w:r w:rsidRPr="006A5AB2">
        <w:t>т</w:t>
      </w:r>
      <w:r>
        <w:t>е</w:t>
      </w:r>
      <w:r w:rsidRPr="006A5AB2">
        <w:t xml:space="preserve"> параметъ</w:t>
      </w:r>
      <w:r>
        <w:t xml:space="preserve">ра, посочени по-долу, </w:t>
      </w:r>
      <w:r w:rsidRPr="006A5AB2">
        <w:t xml:space="preserve"> са съществена част от плана за развитие на университета (</w:t>
      </w:r>
      <w:proofErr w:type="spellStart"/>
      <w:r w:rsidRPr="006A5AB2">
        <w:t>Entwicklungsplan</w:t>
      </w:r>
      <w:proofErr w:type="spellEnd"/>
      <w:r w:rsidRPr="006A5AB2">
        <w:t xml:space="preserve">) и служат като основни насоки за осигуряване на висше образование: </w:t>
      </w:r>
    </w:p>
    <w:p w14:paraId="63654308" w14:textId="77777777" w:rsidR="006A5AB2" w:rsidRPr="006A5AB2" w:rsidRDefault="006A5AB2" w:rsidP="006A5AB2">
      <w:pPr>
        <w:jc w:val="both"/>
      </w:pPr>
      <w:r w:rsidRPr="006A5AB2">
        <w:t>1. Взимане предвид на нуждите на студентите</w:t>
      </w:r>
    </w:p>
    <w:p w14:paraId="3EC9659E" w14:textId="77777777" w:rsidR="006A5AB2" w:rsidRPr="006A5AB2" w:rsidRDefault="006A5AB2" w:rsidP="006A5AB2">
      <w:pPr>
        <w:jc w:val="both"/>
      </w:pPr>
      <w:r w:rsidRPr="006A5AB2">
        <w:t>2. Използване на дидактиката на смесеното обучение;</w:t>
      </w:r>
    </w:p>
    <w:p w14:paraId="4F4C44D3" w14:textId="77777777" w:rsidR="006A5AB2" w:rsidRPr="006A5AB2" w:rsidRDefault="006A5AB2" w:rsidP="006A5AB2">
      <w:pPr>
        <w:jc w:val="both"/>
      </w:pPr>
      <w:r w:rsidRPr="006A5AB2">
        <w:t>3. Разширяване на броя на курсовете, предлагани на английски език, и международния фокус като цяло;</w:t>
      </w:r>
    </w:p>
    <w:p w14:paraId="3BF9381B" w14:textId="77777777" w:rsidR="006A5AB2" w:rsidRPr="006A5AB2" w:rsidRDefault="006A5AB2" w:rsidP="006A5AB2">
      <w:pPr>
        <w:jc w:val="both"/>
      </w:pPr>
      <w:r w:rsidRPr="006A5AB2">
        <w:t>4. Представяне на учебния материал по разбираем начин и използване на малки групи;</w:t>
      </w:r>
    </w:p>
    <w:p w14:paraId="62EA3B66" w14:textId="77777777" w:rsidR="006A5AB2" w:rsidRPr="006A5AB2" w:rsidRDefault="006A5AB2" w:rsidP="006A5AB2">
      <w:pPr>
        <w:jc w:val="both"/>
      </w:pPr>
      <w:r w:rsidRPr="006A5AB2">
        <w:t>5. Внимателен подбор и наставничество на преподаватели с академична и професионална подготовка;</w:t>
      </w:r>
    </w:p>
    <w:p w14:paraId="4EF59EDB" w14:textId="77777777" w:rsidR="006A5AB2" w:rsidRPr="006A5AB2" w:rsidRDefault="006A5AB2" w:rsidP="006A5AB2">
      <w:pPr>
        <w:jc w:val="both"/>
      </w:pPr>
      <w:r w:rsidRPr="006A5AB2">
        <w:t>6. Предлагане на курсове за обучение, които все още не са търсени, но биха могли да бъдат в бъдеще;</w:t>
      </w:r>
    </w:p>
    <w:p w14:paraId="3FDC197D" w14:textId="77777777" w:rsidR="006A5AB2" w:rsidRPr="006A5AB2" w:rsidRDefault="006A5AB2" w:rsidP="006A5AB2">
      <w:pPr>
        <w:jc w:val="both"/>
      </w:pPr>
      <w:r w:rsidRPr="006A5AB2">
        <w:lastRenderedPageBreak/>
        <w:t>7. Прием на студенти с неакадемични квалификации, съпоставими с академични степени;</w:t>
      </w:r>
    </w:p>
    <w:p w14:paraId="79CAB9C2" w14:textId="77777777" w:rsidR="006A5AB2" w:rsidRPr="006A5AB2" w:rsidRDefault="006A5AB2" w:rsidP="006A5AB2">
      <w:pPr>
        <w:jc w:val="both"/>
      </w:pPr>
      <w:r w:rsidRPr="006A5AB2">
        <w:t>8. Равно представителство на възрастовите и половите групи;</w:t>
      </w:r>
    </w:p>
    <w:p w14:paraId="71453026" w14:textId="77777777" w:rsidR="006A5AB2" w:rsidRPr="006A5AB2" w:rsidRDefault="006A5AB2" w:rsidP="006A5AB2">
      <w:pPr>
        <w:jc w:val="both"/>
      </w:pPr>
      <w:r w:rsidRPr="006A5AB2">
        <w:t>9. Осигуряване на култура на положително посрещане и социално включване с цел предоставяне на услуги за студенти с увреждания или хронични заболявания;</w:t>
      </w:r>
    </w:p>
    <w:p w14:paraId="06551892" w14:textId="77777777" w:rsidR="006A5AB2" w:rsidRPr="006A5AB2" w:rsidRDefault="006A5AB2" w:rsidP="006A5AB2">
      <w:pPr>
        <w:jc w:val="both"/>
      </w:pPr>
      <w:r w:rsidRPr="006A5AB2">
        <w:t>10. Предлагане на подготвителни курсове, съобразени с основната учебна програма, както и подготовка за изпитите по време на курса за подпомагане на студентите;</w:t>
      </w:r>
    </w:p>
    <w:p w14:paraId="2E9D804A" w14:textId="4349AD1C" w:rsidR="006A5AB2" w:rsidRDefault="006A5AB2" w:rsidP="006A5AB2">
      <w:pPr>
        <w:jc w:val="both"/>
      </w:pPr>
      <w:r w:rsidRPr="006A5AB2">
        <w:t>11. Предоставяне на различни стипендии.</w:t>
      </w:r>
    </w:p>
    <w:p w14:paraId="002C83F7" w14:textId="77777777" w:rsidR="00FC7225" w:rsidRPr="0072068B" w:rsidRDefault="002E58F2" w:rsidP="00BF632A">
      <w:pPr>
        <w:jc w:val="both"/>
        <w:rPr>
          <w:sz w:val="26"/>
          <w:szCs w:val="26"/>
        </w:rPr>
      </w:pPr>
      <w:hyperlink r:id="rId21" w:history="1">
        <w:r w:rsidR="00FC7225" w:rsidRPr="0072068B">
          <w:rPr>
            <w:rStyle w:val="Hyperlink"/>
            <w:rFonts w:cstheme="minorHAnsi"/>
            <w:sz w:val="26"/>
            <w:szCs w:val="26"/>
          </w:rPr>
          <w:t>https://www.donau-uni.ac.at/en.html</w:t>
        </w:r>
      </w:hyperlink>
    </w:p>
    <w:p w14:paraId="46CF4FC8" w14:textId="77777777" w:rsidR="005C5514" w:rsidRPr="00CC1C9E" w:rsidRDefault="005C5514" w:rsidP="00BF632A">
      <w:pPr>
        <w:jc w:val="both"/>
      </w:pPr>
    </w:p>
    <w:p w14:paraId="1A347637" w14:textId="2AEB86F5" w:rsidR="005C5514" w:rsidRPr="00CD3734" w:rsidRDefault="004C4B4A" w:rsidP="00CD3734">
      <w:pPr>
        <w:pStyle w:val="Heading1"/>
      </w:pPr>
      <w:bookmarkStart w:id="9" w:name="_Toc26808061"/>
      <w:r w:rsidRPr="00CD3734">
        <w:t>7</w:t>
      </w:r>
      <w:r w:rsidR="00561B4D" w:rsidRPr="00CD3734">
        <w:t>. Предприемаческо училище</w:t>
      </w:r>
      <w:r w:rsidR="00F769B7" w:rsidRPr="00CD3734">
        <w:t>, Инсбрук</w:t>
      </w:r>
      <w:r w:rsidR="00AD3A71" w:rsidRPr="00CD3734">
        <w:t xml:space="preserve"> (</w:t>
      </w:r>
      <w:r w:rsidR="00F769B7" w:rsidRPr="00CD3734">
        <w:t xml:space="preserve"> Австрия</w:t>
      </w:r>
      <w:r w:rsidR="00AD3A71" w:rsidRPr="00CD3734">
        <w:t>)</w:t>
      </w:r>
      <w:bookmarkEnd w:id="9"/>
    </w:p>
    <w:p w14:paraId="69A7D393" w14:textId="2E06C2F1" w:rsidR="00561B4D" w:rsidRDefault="00561B4D" w:rsidP="00BF632A">
      <w:pPr>
        <w:jc w:val="both"/>
      </w:pPr>
      <w:r w:rsidRPr="00900EF4">
        <w:t>Стратегическата ангажираност с бизнеса позволява</w:t>
      </w:r>
      <w:r w:rsidRPr="00CC1C9E">
        <w:rPr>
          <w:b/>
          <w:bCs/>
        </w:rPr>
        <w:t xml:space="preserve"> </w:t>
      </w:r>
      <w:r w:rsidRPr="00900EF4">
        <w:t>на MCI да предостави на учениците по добри пътища за заетост</w:t>
      </w:r>
      <w:r w:rsidRPr="00CC1C9E">
        <w:t xml:space="preserve">. Центърът за управление в Инсбрук изгражда стратегически взаимоотношения с работодателите, за да се опитат заедно да подобрят преподаването и ученето и да подобрят възможностите за заетост на студентите. Центърът привлича специално избрани членове на индустрията в университета като партньори в разработването и реализирането на техните програми Студентите се възползват от това, че учебните програми са съобразени с потребностите на индустрията, като материалите се предоставят директно от практикуващите професионалисти Това създава по пряк път към заетост. Бизнесът се възползва от това, че завършилите са готови за работа, както и че има възможност да избере най талантливите студенти. </w:t>
      </w:r>
      <w:r w:rsidR="00F769B7" w:rsidRPr="00CC1C9E">
        <w:t xml:space="preserve"> У нас това може да са отделни факултети или даже катедри в университети. </w:t>
      </w:r>
    </w:p>
    <w:p w14:paraId="14D62B9C" w14:textId="77777777" w:rsidR="005B4200" w:rsidRDefault="005B4200" w:rsidP="005B4200">
      <w:pPr>
        <w:jc w:val="both"/>
      </w:pPr>
      <w:r>
        <w:t xml:space="preserve">В какво се осъществява връзката? </w:t>
      </w:r>
    </w:p>
    <w:p w14:paraId="7753AC40" w14:textId="77777777" w:rsidR="005B4200" w:rsidRDefault="005B4200" w:rsidP="005B4200">
      <w:pPr>
        <w:jc w:val="both"/>
      </w:pPr>
      <w:r>
        <w:t>o</w:t>
      </w:r>
      <w:r>
        <w:tab/>
        <w:t>Разработване на учебната програма с участието на бизнеса</w:t>
      </w:r>
    </w:p>
    <w:p w14:paraId="6004165F" w14:textId="77777777" w:rsidR="005B4200" w:rsidRDefault="005B4200" w:rsidP="005B4200">
      <w:pPr>
        <w:jc w:val="both"/>
      </w:pPr>
      <w:r>
        <w:t>o</w:t>
      </w:r>
      <w:r>
        <w:tab/>
        <w:t>Предоставяне на „анализи на търсенето и анализ на потребностите“, които изследват индустриалните и бизнес изисквания за всяка нова програма за обучение</w:t>
      </w:r>
    </w:p>
    <w:p w14:paraId="17DB35EC" w14:textId="77777777" w:rsidR="005B4200" w:rsidRDefault="005B4200" w:rsidP="005B4200">
      <w:pPr>
        <w:jc w:val="both"/>
      </w:pPr>
      <w:r>
        <w:t>o</w:t>
      </w:r>
      <w:r>
        <w:tab/>
        <w:t xml:space="preserve">Експерти от индустрията участват в процеса на приемане на бакалавърски и магистърски програми.  </w:t>
      </w:r>
    </w:p>
    <w:p w14:paraId="4FB0586E" w14:textId="77777777" w:rsidR="005B4200" w:rsidRDefault="005B4200" w:rsidP="005B4200">
      <w:pPr>
        <w:jc w:val="both"/>
      </w:pPr>
      <w:r>
        <w:t>o</w:t>
      </w:r>
      <w:r>
        <w:tab/>
        <w:t xml:space="preserve">Външни експерти са назначени като преподаватели на хонорар (външни преподаватели), за да преподават в курсове като по този начин пренесат опита от бизнеса в обучението. </w:t>
      </w:r>
    </w:p>
    <w:p w14:paraId="3B3D488E" w14:textId="77777777" w:rsidR="005B4200" w:rsidRDefault="005B4200" w:rsidP="005B4200">
      <w:pPr>
        <w:jc w:val="both"/>
      </w:pPr>
      <w:r>
        <w:t>o</w:t>
      </w:r>
      <w:r>
        <w:tab/>
        <w:t>Студентска мобилност и реализация</w:t>
      </w:r>
    </w:p>
    <w:p w14:paraId="547162B4" w14:textId="39154C33" w:rsidR="005B4200" w:rsidRPr="00CC1C9E" w:rsidRDefault="005B4200" w:rsidP="005B4200">
      <w:pPr>
        <w:jc w:val="both"/>
      </w:pPr>
      <w:r>
        <w:lastRenderedPageBreak/>
        <w:t>o</w:t>
      </w:r>
      <w:r>
        <w:tab/>
        <w:t>Център за кариерно развитие:  Този център действа като интерфейс и точка на взаимодействие между студентите или завършилите и техните потенциални бъдещи работодатели.</w:t>
      </w:r>
    </w:p>
    <w:p w14:paraId="666CA610" w14:textId="77777777" w:rsidR="009A185A" w:rsidRPr="0072068B" w:rsidRDefault="002E58F2" w:rsidP="00BF632A">
      <w:pPr>
        <w:jc w:val="both"/>
        <w:rPr>
          <w:sz w:val="26"/>
          <w:szCs w:val="26"/>
        </w:rPr>
      </w:pPr>
      <w:hyperlink r:id="rId22" w:history="1">
        <w:r w:rsidR="009A185A" w:rsidRPr="0072068B">
          <w:rPr>
            <w:rStyle w:val="Hyperlink"/>
            <w:rFonts w:cstheme="minorHAnsi"/>
            <w:sz w:val="26"/>
            <w:szCs w:val="26"/>
          </w:rPr>
          <w:t>https://www.mci.edu/de/</w:t>
        </w:r>
      </w:hyperlink>
    </w:p>
    <w:p w14:paraId="712B90B9" w14:textId="77777777" w:rsidR="005C5514" w:rsidRPr="00CC1C9E" w:rsidRDefault="005C5514" w:rsidP="00BF632A">
      <w:pPr>
        <w:jc w:val="both"/>
        <w:rPr>
          <w:rFonts w:cstheme="minorHAnsi"/>
          <w:sz w:val="24"/>
          <w:szCs w:val="24"/>
        </w:rPr>
      </w:pPr>
    </w:p>
    <w:p w14:paraId="3B4098BE" w14:textId="390C77F9" w:rsidR="00AD3A71" w:rsidRPr="00CD3734" w:rsidRDefault="004C4B4A" w:rsidP="00CD3734">
      <w:pPr>
        <w:pStyle w:val="Heading1"/>
      </w:pPr>
      <w:bookmarkStart w:id="10" w:name="_Toc26808062"/>
      <w:r w:rsidRPr="00CD3734">
        <w:rPr>
          <w:rStyle w:val="Heading3Char"/>
          <w:rFonts w:asciiTheme="majorHAnsi" w:eastAsiaTheme="majorEastAsia" w:hAnsiTheme="majorHAnsi" w:cstheme="majorBidi"/>
          <w:b/>
          <w:bCs/>
          <w:sz w:val="28"/>
          <w:szCs w:val="28"/>
        </w:rPr>
        <w:t>8</w:t>
      </w:r>
      <w:r w:rsidR="00F769B7" w:rsidRPr="00CD3734">
        <w:rPr>
          <w:rStyle w:val="Heading3Char"/>
          <w:rFonts w:asciiTheme="majorHAnsi" w:eastAsiaTheme="majorEastAsia" w:hAnsiTheme="majorHAnsi" w:cstheme="majorBidi"/>
          <w:b/>
          <w:bCs/>
          <w:sz w:val="28"/>
          <w:szCs w:val="28"/>
        </w:rPr>
        <w:t xml:space="preserve">. Център за подпомагане на студентите и кариерно развитие: Развитието на кариерата на студентите и популяризиране на работодателите </w:t>
      </w:r>
      <w:r w:rsidR="00AD3A71" w:rsidRPr="00CD3734">
        <w:rPr>
          <w:rStyle w:val="Heading3Char"/>
          <w:rFonts w:asciiTheme="majorHAnsi" w:eastAsiaTheme="majorEastAsia" w:hAnsiTheme="majorHAnsi" w:cstheme="majorBidi"/>
          <w:b/>
          <w:bCs/>
          <w:sz w:val="28"/>
          <w:szCs w:val="28"/>
        </w:rPr>
        <w:t>(</w:t>
      </w:r>
      <w:r w:rsidR="00F769B7" w:rsidRPr="00CD3734">
        <w:rPr>
          <w:rStyle w:val="Heading3Char"/>
          <w:rFonts w:asciiTheme="majorHAnsi" w:eastAsiaTheme="majorEastAsia" w:hAnsiTheme="majorHAnsi" w:cstheme="majorBidi"/>
          <w:b/>
          <w:bCs/>
          <w:sz w:val="28"/>
          <w:szCs w:val="28"/>
        </w:rPr>
        <w:t>Хърватия</w:t>
      </w:r>
      <w:r w:rsidR="00AD3A71" w:rsidRPr="00CD3734">
        <w:rPr>
          <w:rStyle w:val="Heading3Char"/>
          <w:rFonts w:asciiTheme="majorHAnsi" w:eastAsiaTheme="majorEastAsia" w:hAnsiTheme="majorHAnsi" w:cstheme="majorBidi"/>
          <w:b/>
          <w:bCs/>
          <w:sz w:val="28"/>
          <w:szCs w:val="28"/>
        </w:rPr>
        <w:t>)</w:t>
      </w:r>
      <w:r w:rsidR="00F769B7" w:rsidRPr="00CD3734">
        <w:rPr>
          <w:rStyle w:val="Heading3Char"/>
          <w:rFonts w:asciiTheme="majorHAnsi" w:eastAsiaTheme="majorEastAsia" w:hAnsiTheme="majorHAnsi" w:cstheme="majorBidi"/>
          <w:b/>
          <w:bCs/>
          <w:sz w:val="28"/>
          <w:szCs w:val="28"/>
        </w:rPr>
        <w:t>.</w:t>
      </w:r>
      <w:bookmarkEnd w:id="10"/>
      <w:r w:rsidR="00F769B7" w:rsidRPr="00CD3734">
        <w:t xml:space="preserve"> </w:t>
      </w:r>
    </w:p>
    <w:p w14:paraId="2572422C" w14:textId="16F1D83B" w:rsidR="005B4200" w:rsidRPr="005B4200" w:rsidRDefault="00F769B7" w:rsidP="005B4200">
      <w:pPr>
        <w:jc w:val="both"/>
        <w:rPr>
          <w:sz w:val="26"/>
          <w:szCs w:val="26"/>
        </w:rPr>
      </w:pPr>
      <w:r w:rsidRPr="00CC1C9E">
        <w:t xml:space="preserve">Центърът за подпомагане на студентите и кариерното развитие във Факултета по организация и информатика на Университета в Загреб е ключов посредник, свързващ студенти и работодатели в и около градовете Варадин и Загреб. </w:t>
      </w:r>
      <w:r w:rsidR="005B4200">
        <w:rPr>
          <w:sz w:val="26"/>
          <w:szCs w:val="26"/>
        </w:rPr>
        <w:t>Стремежът е</w:t>
      </w:r>
      <w:r w:rsidR="005B4200" w:rsidRPr="005B4200">
        <w:rPr>
          <w:sz w:val="26"/>
          <w:szCs w:val="26"/>
        </w:rPr>
        <w:t xml:space="preserve"> да се премахнат бариерите между студентите</w:t>
      </w:r>
      <w:r w:rsidR="005B4200">
        <w:rPr>
          <w:sz w:val="26"/>
          <w:szCs w:val="26"/>
        </w:rPr>
        <w:t xml:space="preserve"> и </w:t>
      </w:r>
      <w:r w:rsidR="005B4200" w:rsidRPr="005B4200">
        <w:rPr>
          <w:sz w:val="26"/>
          <w:szCs w:val="26"/>
        </w:rPr>
        <w:t xml:space="preserve"> </w:t>
      </w:r>
      <w:r w:rsidR="005B4200">
        <w:rPr>
          <w:sz w:val="26"/>
          <w:szCs w:val="26"/>
        </w:rPr>
        <w:t>бизнеса така че</w:t>
      </w:r>
      <w:r w:rsidR="005B4200" w:rsidRPr="005B4200">
        <w:rPr>
          <w:sz w:val="26"/>
          <w:szCs w:val="26"/>
        </w:rPr>
        <w:t xml:space="preserve"> </w:t>
      </w:r>
      <w:r w:rsidR="005B4200">
        <w:rPr>
          <w:sz w:val="26"/>
          <w:szCs w:val="26"/>
        </w:rPr>
        <w:t xml:space="preserve">подготовката на студентите </w:t>
      </w:r>
      <w:r w:rsidR="005B4200" w:rsidRPr="005B4200">
        <w:rPr>
          <w:sz w:val="26"/>
          <w:szCs w:val="26"/>
        </w:rPr>
        <w:t>в по-голяма степен да отговар</w:t>
      </w:r>
      <w:r w:rsidR="005B4200">
        <w:rPr>
          <w:sz w:val="26"/>
          <w:szCs w:val="26"/>
        </w:rPr>
        <w:t>я</w:t>
      </w:r>
      <w:r w:rsidR="005B4200" w:rsidRPr="005B4200">
        <w:rPr>
          <w:sz w:val="26"/>
          <w:szCs w:val="26"/>
        </w:rPr>
        <w:t xml:space="preserve"> на потребностите от човешки ресурси на местния и регионалния бизнес. Изпълнението на тази цел се основава на двойна стратегия за включване и развитие на видимостта както на студентите, така и на бизнеса.</w:t>
      </w:r>
      <w:r w:rsidR="005B4200">
        <w:rPr>
          <w:sz w:val="26"/>
          <w:szCs w:val="26"/>
        </w:rPr>
        <w:t xml:space="preserve"> </w:t>
      </w:r>
      <w:r w:rsidRPr="00CC1C9E">
        <w:t>Центърът действа и като фокусна точка за интегриране на проблемите и предизвикателствата в индустрията в учебните програми за студенти чрез модулни курсове или като теми за магистърски дисертации</w:t>
      </w:r>
      <w:r w:rsidRPr="0072068B">
        <w:rPr>
          <w:sz w:val="26"/>
          <w:szCs w:val="26"/>
        </w:rPr>
        <w:t xml:space="preserve">. </w:t>
      </w:r>
      <w:r w:rsidR="005B4200">
        <w:rPr>
          <w:sz w:val="26"/>
          <w:szCs w:val="26"/>
        </w:rPr>
        <w:t>Той е конструиран така</w:t>
      </w:r>
      <w:r w:rsidR="005B4200" w:rsidRPr="005B4200">
        <w:rPr>
          <w:sz w:val="26"/>
          <w:szCs w:val="26"/>
        </w:rPr>
        <w:t xml:space="preserve">, че да отговори на необходимостта от систематичен подход за подобряване на възможностите за наемане на работа на студентите, да създаде по-добри връзки с работодателите, да развие общите умения и компетенции на студентите - повишаване на пригодността им за заетост.  </w:t>
      </w:r>
    </w:p>
    <w:p w14:paraId="73C26920" w14:textId="77777777" w:rsidR="005B4200" w:rsidRPr="005B4200" w:rsidRDefault="005B4200" w:rsidP="005B4200">
      <w:pPr>
        <w:jc w:val="both"/>
        <w:rPr>
          <w:sz w:val="26"/>
          <w:szCs w:val="26"/>
        </w:rPr>
      </w:pPr>
      <w:r w:rsidRPr="005B4200">
        <w:rPr>
          <w:sz w:val="26"/>
          <w:szCs w:val="26"/>
        </w:rPr>
        <w:t xml:space="preserve">Финансовите ресурси се предоставят от Факултета по организация и информатика на Университета в Загреб, Министерството на образованието на Хърватия и редица хърватски и европейски субсидии. </w:t>
      </w:r>
    </w:p>
    <w:p w14:paraId="3840FA69" w14:textId="56704C74" w:rsidR="005B4200" w:rsidRDefault="005B4200" w:rsidP="005B4200">
      <w:pPr>
        <w:jc w:val="both"/>
        <w:rPr>
          <w:sz w:val="26"/>
          <w:szCs w:val="26"/>
        </w:rPr>
      </w:pPr>
      <w:r w:rsidRPr="005B4200">
        <w:rPr>
          <w:sz w:val="26"/>
          <w:szCs w:val="26"/>
        </w:rPr>
        <w:t>Фирмите допринасят  чрез спонсорство, за да помогнат за покриване на някои разходи за организиране на събития от Центъра, като дни на кариерата, студентски състезания и проекти.</w:t>
      </w:r>
    </w:p>
    <w:p w14:paraId="747B0596" w14:textId="77777777" w:rsidR="009A185A" w:rsidRDefault="002E58F2" w:rsidP="00BF632A">
      <w:pPr>
        <w:jc w:val="both"/>
        <w:rPr>
          <w:sz w:val="26"/>
          <w:szCs w:val="26"/>
        </w:rPr>
      </w:pPr>
      <w:hyperlink r:id="rId23" w:history="1">
        <w:r w:rsidR="009A185A" w:rsidRPr="0072068B">
          <w:rPr>
            <w:rStyle w:val="Hyperlink"/>
            <w:rFonts w:cstheme="minorHAnsi"/>
            <w:sz w:val="26"/>
            <w:szCs w:val="26"/>
          </w:rPr>
          <w:t>https://www.croatia.rit.edu/co-op-contact/</w:t>
        </w:r>
      </w:hyperlink>
    </w:p>
    <w:p w14:paraId="2E92300C" w14:textId="77777777" w:rsidR="002061F5" w:rsidRPr="0072068B" w:rsidRDefault="002061F5" w:rsidP="00BF632A">
      <w:pPr>
        <w:jc w:val="both"/>
        <w:rPr>
          <w:sz w:val="26"/>
          <w:szCs w:val="26"/>
        </w:rPr>
      </w:pPr>
    </w:p>
    <w:p w14:paraId="394A0D35" w14:textId="53765B6B" w:rsidR="007B5EDE" w:rsidRPr="00CD3734" w:rsidRDefault="004C4B4A" w:rsidP="00CD3734">
      <w:pPr>
        <w:pStyle w:val="Heading1"/>
        <w:rPr>
          <w:rStyle w:val="Heading1Char"/>
          <w:b/>
          <w:bCs/>
        </w:rPr>
      </w:pPr>
      <w:bookmarkStart w:id="11" w:name="_Toc26808063"/>
      <w:r>
        <w:rPr>
          <w:rFonts w:asciiTheme="minorHAnsi" w:hAnsiTheme="minorHAnsi" w:cstheme="minorHAnsi"/>
          <w:color w:val="4472C4" w:themeColor="accent1"/>
          <w:lang w:eastAsia="bg-BG"/>
        </w:rPr>
        <w:t>9</w:t>
      </w:r>
      <w:r w:rsidR="008A2949" w:rsidRPr="00900EF4">
        <w:rPr>
          <w:rFonts w:asciiTheme="minorHAnsi" w:hAnsiTheme="minorHAnsi" w:cstheme="minorHAnsi"/>
          <w:color w:val="4472C4" w:themeColor="accent1"/>
          <w:lang w:eastAsia="bg-BG"/>
        </w:rPr>
        <w:t xml:space="preserve">. </w:t>
      </w:r>
      <w:r w:rsidR="0024165B" w:rsidRPr="00CD3734">
        <w:rPr>
          <w:rStyle w:val="Heading1Char"/>
          <w:b/>
          <w:bCs/>
        </w:rPr>
        <w:t xml:space="preserve">Служба за връзка с </w:t>
      </w:r>
      <w:r w:rsidR="007B5EDE" w:rsidRPr="00CD3734">
        <w:rPr>
          <w:rStyle w:val="Heading1Char"/>
          <w:b/>
          <w:bCs/>
        </w:rPr>
        <w:t xml:space="preserve">индустрията </w:t>
      </w:r>
      <w:r w:rsidR="000D791E" w:rsidRPr="00CD3734">
        <w:rPr>
          <w:rStyle w:val="Heading1Char"/>
          <w:b/>
          <w:bCs/>
        </w:rPr>
        <w:t>на</w:t>
      </w:r>
      <w:r w:rsidR="0024165B" w:rsidRPr="00CD3734">
        <w:rPr>
          <w:rStyle w:val="Heading1Char"/>
          <w:b/>
          <w:bCs/>
        </w:rPr>
        <w:t xml:space="preserve"> Кипърския технологичен университет </w:t>
      </w:r>
      <w:r w:rsidR="007B5EDE" w:rsidRPr="00CD3734">
        <w:rPr>
          <w:rStyle w:val="Heading1Char"/>
          <w:b/>
          <w:bCs/>
        </w:rPr>
        <w:t xml:space="preserve">(Enterprise </w:t>
      </w:r>
      <w:proofErr w:type="spellStart"/>
      <w:r w:rsidR="007B5EDE" w:rsidRPr="00CD3734">
        <w:rPr>
          <w:rStyle w:val="Heading1Char"/>
          <w:b/>
          <w:bCs/>
        </w:rPr>
        <w:t>Liaison</w:t>
      </w:r>
      <w:proofErr w:type="spellEnd"/>
      <w:r w:rsidR="007B5EDE" w:rsidRPr="00CD3734">
        <w:rPr>
          <w:rStyle w:val="Heading1Char"/>
          <w:b/>
          <w:bCs/>
        </w:rPr>
        <w:t xml:space="preserve"> Office)</w:t>
      </w:r>
      <w:r w:rsidR="00AD3A71" w:rsidRPr="00CD3734">
        <w:rPr>
          <w:rStyle w:val="Heading1Char"/>
          <w:b/>
          <w:bCs/>
        </w:rPr>
        <w:t xml:space="preserve"> (Кипър)</w:t>
      </w:r>
      <w:bookmarkEnd w:id="11"/>
    </w:p>
    <w:p w14:paraId="68E983B7" w14:textId="70ABF1E9" w:rsidR="0024165B" w:rsidRPr="00CC1C9E" w:rsidRDefault="007B5EDE" w:rsidP="00BF632A">
      <w:pPr>
        <w:jc w:val="both"/>
        <w:rPr>
          <w:lang w:eastAsia="bg-BG"/>
        </w:rPr>
      </w:pPr>
      <w:r w:rsidRPr="00CC1C9E">
        <w:rPr>
          <w:lang w:eastAsia="bg-BG"/>
        </w:rPr>
        <w:t>С</w:t>
      </w:r>
      <w:r w:rsidR="0024165B" w:rsidRPr="00CC1C9E">
        <w:rPr>
          <w:lang w:eastAsia="bg-BG"/>
        </w:rPr>
        <w:t>ъздадена</w:t>
      </w:r>
      <w:r w:rsidR="002979AB">
        <w:rPr>
          <w:lang w:eastAsia="bg-BG"/>
        </w:rPr>
        <w:t xml:space="preserve"> е</w:t>
      </w:r>
      <w:r w:rsidR="0024165B" w:rsidRPr="00CC1C9E">
        <w:rPr>
          <w:lang w:eastAsia="bg-BG"/>
        </w:rPr>
        <w:t xml:space="preserve"> през 2011 г. като проект на Европейския социален фонд</w:t>
      </w:r>
      <w:r w:rsidR="00BF632A">
        <w:rPr>
          <w:lang w:eastAsia="bg-BG"/>
        </w:rPr>
        <w:t xml:space="preserve"> и има </w:t>
      </w:r>
      <w:r w:rsidR="0024165B" w:rsidRPr="00CC1C9E">
        <w:rPr>
          <w:lang w:eastAsia="bg-BG"/>
        </w:rPr>
        <w:t xml:space="preserve">ключова роля в стратегическия план на Университета за насърчаване на </w:t>
      </w:r>
      <w:r w:rsidR="002979AB">
        <w:rPr>
          <w:lang w:eastAsia="bg-BG"/>
        </w:rPr>
        <w:t>връзките</w:t>
      </w:r>
      <w:r w:rsidR="0024165B" w:rsidRPr="00CC1C9E">
        <w:rPr>
          <w:lang w:eastAsia="bg-BG"/>
        </w:rPr>
        <w:t xml:space="preserve"> между бизнеса и академичната общност. Целта е да се развие и изгради структурирана мрежа, която да предостави на </w:t>
      </w:r>
      <w:r w:rsidR="00BF632A">
        <w:rPr>
          <w:lang w:eastAsia="bg-BG"/>
        </w:rPr>
        <w:t xml:space="preserve">университетската </w:t>
      </w:r>
      <w:r w:rsidR="0024165B" w:rsidRPr="00CC1C9E">
        <w:rPr>
          <w:lang w:eastAsia="bg-BG"/>
        </w:rPr>
        <w:t xml:space="preserve">академична и студентска общност  и </w:t>
      </w:r>
      <w:r w:rsidR="00BF632A">
        <w:rPr>
          <w:lang w:eastAsia="bg-BG"/>
        </w:rPr>
        <w:t xml:space="preserve">на </w:t>
      </w:r>
      <w:r w:rsidR="0024165B" w:rsidRPr="00CC1C9E">
        <w:rPr>
          <w:lang w:eastAsia="bg-BG"/>
        </w:rPr>
        <w:t>регионалния бизнес платформа за партньорство</w:t>
      </w:r>
      <w:r w:rsidR="00BF632A">
        <w:rPr>
          <w:lang w:eastAsia="bg-BG"/>
        </w:rPr>
        <w:t xml:space="preserve">, </w:t>
      </w:r>
      <w:r w:rsidR="0024165B" w:rsidRPr="00CC1C9E">
        <w:rPr>
          <w:lang w:eastAsia="bg-BG"/>
        </w:rPr>
        <w:t xml:space="preserve"> даваща възможност на двете </w:t>
      </w:r>
      <w:r w:rsidR="0024165B" w:rsidRPr="00CC1C9E">
        <w:rPr>
          <w:lang w:eastAsia="bg-BG"/>
        </w:rPr>
        <w:lastRenderedPageBreak/>
        <w:t xml:space="preserve">страни да изследват ефективни механизми за трансфер на специализирано ноу-хау </w:t>
      </w:r>
      <w:r w:rsidR="00614F63">
        <w:rPr>
          <w:lang w:eastAsia="bg-BG"/>
        </w:rPr>
        <w:t xml:space="preserve">за свързване </w:t>
      </w:r>
      <w:r w:rsidR="0024165B" w:rsidRPr="00CC1C9E">
        <w:rPr>
          <w:lang w:eastAsia="bg-BG"/>
        </w:rPr>
        <w:t xml:space="preserve"> на научните изследвания, технологиите и иновациите</w:t>
      </w:r>
      <w:r w:rsidR="00BF632A">
        <w:rPr>
          <w:lang w:eastAsia="bg-BG"/>
        </w:rPr>
        <w:t xml:space="preserve"> с нуждите на бизнеса</w:t>
      </w:r>
      <w:r w:rsidR="0024165B" w:rsidRPr="00CC1C9E">
        <w:rPr>
          <w:lang w:eastAsia="bg-BG"/>
        </w:rPr>
        <w:t>.</w:t>
      </w:r>
      <w:r w:rsidRPr="00CC1C9E">
        <w:rPr>
          <w:lang w:eastAsia="bg-BG"/>
        </w:rPr>
        <w:t xml:space="preserve"> </w:t>
      </w:r>
      <w:r w:rsidR="0024165B" w:rsidRPr="00CC1C9E">
        <w:rPr>
          <w:lang w:eastAsia="bg-BG"/>
        </w:rPr>
        <w:t xml:space="preserve">Освен това Службата подкрепя университета </w:t>
      </w:r>
      <w:r w:rsidR="00BF632A">
        <w:rPr>
          <w:lang w:eastAsia="bg-BG"/>
        </w:rPr>
        <w:t xml:space="preserve">при създаване на по-добри </w:t>
      </w:r>
      <w:r w:rsidR="0024165B" w:rsidRPr="00CC1C9E">
        <w:rPr>
          <w:lang w:eastAsia="bg-BG"/>
        </w:rPr>
        <w:t xml:space="preserve"> възможности за заетост на завършилите </w:t>
      </w:r>
      <w:r w:rsidR="00614F63" w:rsidRPr="00CC1C9E">
        <w:rPr>
          <w:lang w:eastAsia="bg-BG"/>
        </w:rPr>
        <w:t xml:space="preserve">студентите </w:t>
      </w:r>
      <w:r w:rsidR="0024165B" w:rsidRPr="00CC1C9E">
        <w:rPr>
          <w:lang w:eastAsia="bg-BG"/>
        </w:rPr>
        <w:t>чрез</w:t>
      </w:r>
      <w:r w:rsidR="00BF632A">
        <w:rPr>
          <w:lang w:eastAsia="bg-BG"/>
        </w:rPr>
        <w:t xml:space="preserve"> прилагане на </w:t>
      </w:r>
      <w:r w:rsidR="0024165B" w:rsidRPr="00CC1C9E">
        <w:rPr>
          <w:lang w:eastAsia="bg-BG"/>
        </w:rPr>
        <w:t xml:space="preserve"> конкретна рамка за настаняване </w:t>
      </w:r>
      <w:r w:rsidR="00614F63">
        <w:rPr>
          <w:lang w:eastAsia="bg-BG"/>
        </w:rPr>
        <w:t xml:space="preserve">на работа </w:t>
      </w:r>
      <w:r w:rsidR="0024165B" w:rsidRPr="00CC1C9E">
        <w:rPr>
          <w:lang w:eastAsia="bg-BG"/>
        </w:rPr>
        <w:t xml:space="preserve">и чрез </w:t>
      </w:r>
      <w:r w:rsidR="002979AB">
        <w:rPr>
          <w:lang w:eastAsia="bg-BG"/>
        </w:rPr>
        <w:t>консултантски</w:t>
      </w:r>
      <w:r w:rsidR="0024165B" w:rsidRPr="00CC1C9E">
        <w:rPr>
          <w:lang w:eastAsia="bg-BG"/>
        </w:rPr>
        <w:t xml:space="preserve"> услуги за подкрепа с акцент върху меките умения, предприемачеството и иновациите.</w:t>
      </w:r>
    </w:p>
    <w:p w14:paraId="616EFF09" w14:textId="77777777" w:rsidR="0024165B" w:rsidRPr="005C5514" w:rsidRDefault="002E58F2" w:rsidP="00BF632A">
      <w:pPr>
        <w:jc w:val="both"/>
        <w:rPr>
          <w:color w:val="2E9FAB"/>
          <w:sz w:val="26"/>
          <w:szCs w:val="26"/>
        </w:rPr>
      </w:pPr>
      <w:hyperlink r:id="rId24" w:history="1">
        <w:r w:rsidR="007B5EDE" w:rsidRPr="005C5514">
          <w:rPr>
            <w:rStyle w:val="Hyperlink"/>
            <w:rFonts w:cstheme="minorHAnsi"/>
            <w:sz w:val="26"/>
            <w:szCs w:val="26"/>
          </w:rPr>
          <w:t>https://www.cut.ac.cy/research/international-collaboration-partnerships/enterprise-liaison-office/?languageId=1</w:t>
        </w:r>
      </w:hyperlink>
    </w:p>
    <w:p w14:paraId="7A3AEA43" w14:textId="77777777" w:rsidR="007B5EDE" w:rsidRPr="00CC1C9E" w:rsidRDefault="007B5EDE" w:rsidP="00BF63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E9FAB"/>
          <w:sz w:val="24"/>
          <w:szCs w:val="24"/>
        </w:rPr>
      </w:pPr>
    </w:p>
    <w:p w14:paraId="4139FF0E" w14:textId="467145C8" w:rsidR="008A2949" w:rsidRPr="00AD3A71" w:rsidRDefault="004C4B4A" w:rsidP="00CD3734">
      <w:pPr>
        <w:pStyle w:val="Heading1"/>
        <w:rPr>
          <w:rFonts w:asciiTheme="minorHAnsi" w:hAnsiTheme="minorHAnsi" w:cstheme="minorHAnsi"/>
          <w:color w:val="4472C4" w:themeColor="accent1"/>
        </w:rPr>
      </w:pPr>
      <w:bookmarkStart w:id="12" w:name="_Toc26808064"/>
      <w:r>
        <w:rPr>
          <w:rFonts w:asciiTheme="minorHAnsi" w:hAnsiTheme="minorHAnsi" w:cstheme="minorHAnsi"/>
          <w:color w:val="4472C4" w:themeColor="accent1"/>
          <w:lang w:eastAsia="bg-BG"/>
        </w:rPr>
        <w:t>10</w:t>
      </w:r>
      <w:r w:rsidR="008A2949" w:rsidRPr="00900EF4">
        <w:rPr>
          <w:rFonts w:asciiTheme="minorHAnsi" w:hAnsiTheme="minorHAnsi" w:cstheme="minorHAnsi"/>
          <w:color w:val="4472C4" w:themeColor="accent1"/>
          <w:lang w:eastAsia="bg-BG"/>
        </w:rPr>
        <w:t xml:space="preserve">. </w:t>
      </w:r>
      <w:r w:rsidR="008A2949" w:rsidRPr="00CD3734">
        <w:rPr>
          <w:rStyle w:val="Heading1Char"/>
          <w:b/>
          <w:bCs/>
        </w:rPr>
        <w:t>Рамка за високи постижения</w:t>
      </w:r>
      <w:r w:rsidR="002979AB" w:rsidRPr="00CD3734">
        <w:rPr>
          <w:rStyle w:val="Heading1Char"/>
          <w:b/>
          <w:bCs/>
        </w:rPr>
        <w:t xml:space="preserve"> в преподаването</w:t>
      </w:r>
      <w:r w:rsidR="008A2949" w:rsidRPr="00CD3734">
        <w:rPr>
          <w:rStyle w:val="Heading1Char"/>
          <w:b/>
          <w:bCs/>
        </w:rPr>
        <w:t xml:space="preserve"> и резултати на студентите (</w:t>
      </w:r>
      <w:proofErr w:type="spellStart"/>
      <w:r w:rsidR="008A2949" w:rsidRPr="00CD3734">
        <w:rPr>
          <w:rStyle w:val="Heading1Char"/>
          <w:b/>
          <w:bCs/>
        </w:rPr>
        <w:t>Teaching</w:t>
      </w:r>
      <w:proofErr w:type="spellEnd"/>
      <w:r w:rsidR="008A2949" w:rsidRPr="00CD3734">
        <w:rPr>
          <w:rStyle w:val="Heading1Char"/>
          <w:b/>
          <w:bCs/>
        </w:rPr>
        <w:t xml:space="preserve"> </w:t>
      </w:r>
      <w:proofErr w:type="spellStart"/>
      <w:r w:rsidR="008A2949" w:rsidRPr="00CD3734">
        <w:rPr>
          <w:rStyle w:val="Heading1Char"/>
          <w:b/>
          <w:bCs/>
        </w:rPr>
        <w:t>Excellence</w:t>
      </w:r>
      <w:proofErr w:type="spellEnd"/>
      <w:r w:rsidR="008A2949" w:rsidRPr="00CD3734">
        <w:rPr>
          <w:rStyle w:val="Heading1Char"/>
          <w:b/>
          <w:bCs/>
        </w:rPr>
        <w:t xml:space="preserve"> </w:t>
      </w:r>
      <w:proofErr w:type="spellStart"/>
      <w:r w:rsidR="008A2949" w:rsidRPr="00CD3734">
        <w:rPr>
          <w:rStyle w:val="Heading1Char"/>
          <w:b/>
          <w:bCs/>
        </w:rPr>
        <w:t>and</w:t>
      </w:r>
      <w:proofErr w:type="spellEnd"/>
      <w:r w:rsidR="008A2949" w:rsidRPr="00CD3734">
        <w:rPr>
          <w:rStyle w:val="Heading1Char"/>
          <w:b/>
          <w:bCs/>
        </w:rPr>
        <w:t xml:space="preserve"> </w:t>
      </w:r>
      <w:proofErr w:type="spellStart"/>
      <w:r w:rsidR="008A2949" w:rsidRPr="00CD3734">
        <w:rPr>
          <w:rStyle w:val="Heading1Char"/>
          <w:b/>
          <w:bCs/>
        </w:rPr>
        <w:t>Student</w:t>
      </w:r>
      <w:proofErr w:type="spellEnd"/>
      <w:r w:rsidR="008A2949" w:rsidRPr="00CD3734">
        <w:rPr>
          <w:rStyle w:val="Heading1Char"/>
          <w:b/>
          <w:bCs/>
        </w:rPr>
        <w:t xml:space="preserve"> </w:t>
      </w:r>
      <w:proofErr w:type="spellStart"/>
      <w:r w:rsidR="008A2949" w:rsidRPr="00CD3734">
        <w:rPr>
          <w:rStyle w:val="Heading1Char"/>
          <w:b/>
          <w:bCs/>
        </w:rPr>
        <w:t>Outcomes</w:t>
      </w:r>
      <w:proofErr w:type="spellEnd"/>
      <w:r w:rsidR="008A2949" w:rsidRPr="00CD3734">
        <w:rPr>
          <w:rStyle w:val="Heading1Char"/>
          <w:b/>
          <w:bCs/>
        </w:rPr>
        <w:t xml:space="preserve"> Framework (TEF) </w:t>
      </w:r>
      <w:r w:rsidR="00AD3A71" w:rsidRPr="00CD3734">
        <w:rPr>
          <w:rStyle w:val="Heading1Char"/>
          <w:b/>
          <w:bCs/>
        </w:rPr>
        <w:t>(Великобритания</w:t>
      </w:r>
      <w:r w:rsidR="00AD3A71">
        <w:rPr>
          <w:rFonts w:asciiTheme="minorHAnsi" w:hAnsiTheme="minorHAnsi" w:cstheme="minorHAnsi"/>
          <w:color w:val="4472C4" w:themeColor="accent1"/>
        </w:rPr>
        <w:t>)</w:t>
      </w:r>
      <w:bookmarkEnd w:id="12"/>
    </w:p>
    <w:p w14:paraId="68FA9985" w14:textId="6AD6D46C" w:rsidR="008A2949" w:rsidRPr="00CC1C9E" w:rsidRDefault="005B5CA9" w:rsidP="00BF632A">
      <w:pPr>
        <w:jc w:val="both"/>
        <w:rPr>
          <w:lang w:eastAsia="bg-BG"/>
        </w:rPr>
      </w:pPr>
      <w:r w:rsidRPr="00CC1C9E">
        <w:t>Използването на финансиране от страна на правителства за стимулиране на</w:t>
      </w:r>
      <w:r w:rsidR="00C335D0">
        <w:t xml:space="preserve"> определена насока за работа на </w:t>
      </w:r>
      <w:r w:rsidRPr="00CC1C9E">
        <w:t xml:space="preserve"> </w:t>
      </w:r>
      <w:r w:rsidR="00BF632A">
        <w:t>висшите училища</w:t>
      </w:r>
      <w:r w:rsidRPr="00CC1C9E">
        <w:t xml:space="preserve"> е инструмент</w:t>
      </w:r>
      <w:r w:rsidR="00BF632A">
        <w:t xml:space="preserve"> е в основата на тази</w:t>
      </w:r>
      <w:r w:rsidRPr="00CC1C9E">
        <w:t xml:space="preserve"> Рамка за </w:t>
      </w:r>
      <w:r w:rsidR="00BF632A">
        <w:t>високи</w:t>
      </w:r>
      <w:r w:rsidR="002979AB" w:rsidRPr="00CC1C9E">
        <w:t xml:space="preserve"> постижения</w:t>
      </w:r>
      <w:r w:rsidR="002979AB">
        <w:t xml:space="preserve"> в </w:t>
      </w:r>
      <w:r w:rsidR="002979AB" w:rsidRPr="00CC1C9E">
        <w:t xml:space="preserve"> </w:t>
      </w:r>
      <w:r w:rsidRPr="00CC1C9E">
        <w:t>преподаване</w:t>
      </w:r>
      <w:r w:rsidR="00C335D0">
        <w:t>то</w:t>
      </w:r>
      <w:r w:rsidR="002979AB">
        <w:t>, разрабо</w:t>
      </w:r>
      <w:r w:rsidR="00C335D0">
        <w:t>тена от</w:t>
      </w:r>
      <w:r w:rsidR="002979AB">
        <w:t xml:space="preserve"> Министерството на образованието </w:t>
      </w:r>
      <w:r w:rsidR="00BF632A">
        <w:t>на</w:t>
      </w:r>
      <w:r w:rsidRPr="00CC1C9E">
        <w:t xml:space="preserve"> Великобритания</w:t>
      </w:r>
      <w:r w:rsidR="00C335D0">
        <w:t xml:space="preserve"> и п</w:t>
      </w:r>
      <w:r w:rsidR="00C335D0" w:rsidRPr="00CC1C9E">
        <w:rPr>
          <w:lang w:eastAsia="bg-BG"/>
        </w:rPr>
        <w:t>убликувана през 2017 г.</w:t>
      </w:r>
      <w:r w:rsidR="00C335D0">
        <w:rPr>
          <w:lang w:eastAsia="bg-BG"/>
        </w:rPr>
        <w:t xml:space="preserve"> Т</w:t>
      </w:r>
      <w:r w:rsidR="00C335D0" w:rsidRPr="00CC1C9E">
        <w:rPr>
          <w:lang w:eastAsia="bg-BG"/>
        </w:rPr>
        <w:t>я определя начина за оценка и уточнява критериите, доказателствата и процедурите</w:t>
      </w:r>
      <w:r w:rsidR="00C335D0">
        <w:rPr>
          <w:lang w:eastAsia="bg-BG"/>
        </w:rPr>
        <w:t xml:space="preserve">, по които ще се оценява преподаването във ВУ.  Целта е </w:t>
      </w:r>
      <w:r w:rsidR="00EE1271">
        <w:rPr>
          <w:lang w:eastAsia="bg-BG"/>
        </w:rPr>
        <w:t>обучението</w:t>
      </w:r>
      <w:r w:rsidR="00C335D0">
        <w:rPr>
          <w:lang w:eastAsia="bg-BG"/>
        </w:rPr>
        <w:t xml:space="preserve"> да се подобрява </w:t>
      </w:r>
      <w:r w:rsidRPr="00CC1C9E">
        <w:t xml:space="preserve"> </w:t>
      </w:r>
      <w:r w:rsidR="00C335D0">
        <w:t>по</w:t>
      </w:r>
      <w:r w:rsidR="002979AB">
        <w:t xml:space="preserve"> начин, който да </w:t>
      </w:r>
      <w:r w:rsidR="00C335D0">
        <w:t xml:space="preserve">осигури </w:t>
      </w:r>
      <w:r w:rsidR="00C335D0" w:rsidRPr="00CC1C9E">
        <w:t>пригодността</w:t>
      </w:r>
      <w:r w:rsidRPr="00CC1C9E">
        <w:t xml:space="preserve"> </w:t>
      </w:r>
      <w:r w:rsidR="002979AB">
        <w:t xml:space="preserve"> </w:t>
      </w:r>
      <w:r w:rsidR="00C335D0">
        <w:t>за намиране на работа и да повиши заетостта на завършващите студенти</w:t>
      </w:r>
      <w:r w:rsidRPr="00CC1C9E">
        <w:t xml:space="preserve">. </w:t>
      </w:r>
      <w:r w:rsidR="00C335D0">
        <w:t>П</w:t>
      </w:r>
      <w:r w:rsidR="007B5EDE" w:rsidRPr="00CC1C9E">
        <w:rPr>
          <w:lang w:eastAsia="bg-BG"/>
        </w:rPr>
        <w:t>реподаване</w:t>
      </w:r>
      <w:r w:rsidR="00C335D0">
        <w:rPr>
          <w:lang w:eastAsia="bg-BG"/>
        </w:rPr>
        <w:t>то, което осигурява тази цел ще бъде поощрявано с награди</w:t>
      </w:r>
      <w:r w:rsidR="007B5EDE" w:rsidRPr="00CC1C9E">
        <w:rPr>
          <w:lang w:eastAsia="bg-BG"/>
        </w:rPr>
        <w:t xml:space="preserve">. Съветът за финансиране на висшето образование </w:t>
      </w:r>
      <w:r w:rsidR="008A2949" w:rsidRPr="00CC1C9E">
        <w:rPr>
          <w:lang w:eastAsia="bg-BG"/>
        </w:rPr>
        <w:t>н</w:t>
      </w:r>
      <w:r w:rsidR="007B5EDE" w:rsidRPr="00CC1C9E">
        <w:rPr>
          <w:lang w:eastAsia="bg-BG"/>
        </w:rPr>
        <w:t xml:space="preserve">а </w:t>
      </w:r>
      <w:r w:rsidR="008A2949" w:rsidRPr="00CC1C9E">
        <w:rPr>
          <w:lang w:eastAsia="bg-BG"/>
        </w:rPr>
        <w:t xml:space="preserve">Великобритания </w:t>
      </w:r>
      <w:r w:rsidR="007B5EDE" w:rsidRPr="00CC1C9E">
        <w:rPr>
          <w:lang w:eastAsia="bg-BG"/>
        </w:rPr>
        <w:t xml:space="preserve">HEFCE) е отговорен за прилагането на </w:t>
      </w:r>
      <w:r w:rsidR="00C335D0">
        <w:rPr>
          <w:lang w:eastAsia="bg-BG"/>
        </w:rPr>
        <w:t xml:space="preserve">тази </w:t>
      </w:r>
      <w:r w:rsidR="00B34CE9" w:rsidRPr="00CC1C9E">
        <w:rPr>
          <w:lang w:eastAsia="bg-BG"/>
        </w:rPr>
        <w:t>рамка</w:t>
      </w:r>
      <w:r w:rsidR="00C335D0">
        <w:rPr>
          <w:lang w:eastAsia="bg-BG"/>
        </w:rPr>
        <w:t xml:space="preserve">, </w:t>
      </w:r>
      <w:r w:rsidR="00B34CE9" w:rsidRPr="00CC1C9E">
        <w:rPr>
          <w:lang w:eastAsia="bg-BG"/>
        </w:rPr>
        <w:t xml:space="preserve"> </w:t>
      </w:r>
      <w:r w:rsidR="007B5EDE" w:rsidRPr="00CC1C9E">
        <w:rPr>
          <w:lang w:eastAsia="bg-BG"/>
        </w:rPr>
        <w:t xml:space="preserve">съгласно </w:t>
      </w:r>
      <w:r w:rsidR="00B34CE9" w:rsidRPr="00CC1C9E">
        <w:rPr>
          <w:lang w:eastAsia="bg-BG"/>
        </w:rPr>
        <w:t xml:space="preserve">определена </w:t>
      </w:r>
      <w:r w:rsidR="007B5EDE" w:rsidRPr="00CC1C9E">
        <w:rPr>
          <w:lang w:eastAsia="bg-BG"/>
        </w:rPr>
        <w:t xml:space="preserve">спецификация </w:t>
      </w:r>
      <w:r w:rsidR="00B34CE9" w:rsidRPr="00CC1C9E">
        <w:rPr>
          <w:lang w:eastAsia="bg-BG"/>
        </w:rPr>
        <w:t>(</w:t>
      </w:r>
      <w:proofErr w:type="spellStart"/>
      <w:r w:rsidR="007B5EDE" w:rsidRPr="00CC1C9E">
        <w:rPr>
          <w:lang w:eastAsia="bg-BG"/>
        </w:rPr>
        <w:t>DfE</w:t>
      </w:r>
      <w:proofErr w:type="spellEnd"/>
      <w:r w:rsidR="00B34CE9" w:rsidRPr="00CC1C9E">
        <w:rPr>
          <w:lang w:val="en-US" w:eastAsia="bg-BG"/>
        </w:rPr>
        <w:t>)</w:t>
      </w:r>
      <w:r w:rsidR="007B5EDE" w:rsidRPr="00CC1C9E">
        <w:rPr>
          <w:lang w:eastAsia="bg-BG"/>
        </w:rPr>
        <w:t>.</w:t>
      </w:r>
      <w:r w:rsidR="008A2949" w:rsidRPr="00CC1C9E">
        <w:rPr>
          <w:lang w:eastAsia="bg-BG"/>
        </w:rPr>
        <w:t xml:space="preserve"> </w:t>
      </w:r>
    </w:p>
    <w:p w14:paraId="70E0708F" w14:textId="77777777" w:rsidR="008A2949" w:rsidRPr="0072068B" w:rsidRDefault="002E58F2" w:rsidP="00BF632A">
      <w:pPr>
        <w:tabs>
          <w:tab w:val="left" w:pos="1560"/>
        </w:tabs>
        <w:jc w:val="both"/>
        <w:rPr>
          <w:color w:val="00B0F0"/>
          <w:sz w:val="26"/>
          <w:szCs w:val="26"/>
          <w:lang w:eastAsia="bg-BG"/>
        </w:rPr>
      </w:pPr>
      <w:hyperlink r:id="rId25" w:history="1">
        <w:r w:rsidR="008A2949" w:rsidRPr="0072068B">
          <w:rPr>
            <w:rStyle w:val="Hyperlink"/>
            <w:rFonts w:cstheme="minorHAnsi"/>
            <w:sz w:val="26"/>
            <w:szCs w:val="26"/>
            <w:lang w:eastAsia="bg-BG"/>
          </w:rPr>
          <w:t>https://assets.publishing.service.gov.uk/government/uploads/system/uploads/attachment_data/file/658490/Teaching_Excellence_and_Student_Outcomes_Framework_Specification.pdf</w:t>
        </w:r>
      </w:hyperlink>
    </w:p>
    <w:p w14:paraId="6D4B17B5" w14:textId="77777777" w:rsidR="008A2949" w:rsidRPr="0072068B" w:rsidRDefault="00B34CE9" w:rsidP="00BF632A">
      <w:pPr>
        <w:jc w:val="both"/>
      </w:pPr>
      <w:r w:rsidRPr="0072068B">
        <w:rPr>
          <w:lang w:val="en-US"/>
        </w:rPr>
        <w:t xml:space="preserve">За </w:t>
      </w:r>
      <w:r w:rsidRPr="00B46CCA">
        <w:t>прилагане</w:t>
      </w:r>
      <w:r w:rsidRPr="0072068B">
        <w:rPr>
          <w:lang w:val="en-US"/>
        </w:rPr>
        <w:t xml:space="preserve"> на </w:t>
      </w:r>
      <w:r w:rsidRPr="0072068B">
        <w:rPr>
          <w:lang w:eastAsia="bg-BG"/>
        </w:rPr>
        <w:t xml:space="preserve">Рамката </w:t>
      </w:r>
      <w:r w:rsidRPr="0072068B">
        <w:t xml:space="preserve">отделно </w:t>
      </w:r>
      <w:r w:rsidR="008A2949" w:rsidRPr="0072068B">
        <w:t xml:space="preserve">е </w:t>
      </w:r>
      <w:r w:rsidRPr="0072068B">
        <w:t>разработен</w:t>
      </w:r>
      <w:r w:rsidR="008A2949" w:rsidRPr="0072068B">
        <w:t xml:space="preserve"> наръчник за прилагане на</w:t>
      </w:r>
      <w:r w:rsidR="005B5CA9" w:rsidRPr="0072068B">
        <w:t xml:space="preserve"> показателите за оценка.</w:t>
      </w:r>
    </w:p>
    <w:p w14:paraId="74D95B09" w14:textId="77777777" w:rsidR="007B5EDE" w:rsidRPr="0072068B" w:rsidRDefault="002E58F2" w:rsidP="00BF632A">
      <w:pPr>
        <w:tabs>
          <w:tab w:val="left" w:pos="1560"/>
        </w:tabs>
        <w:jc w:val="both"/>
        <w:rPr>
          <w:color w:val="00B0F0"/>
          <w:sz w:val="26"/>
          <w:szCs w:val="26"/>
        </w:rPr>
      </w:pPr>
      <w:hyperlink r:id="rId26" w:history="1">
        <w:r w:rsidR="00B34CE9" w:rsidRPr="0072068B">
          <w:rPr>
            <w:rStyle w:val="Hyperlink"/>
            <w:rFonts w:cstheme="minorHAnsi"/>
            <w:sz w:val="26"/>
            <w:szCs w:val="26"/>
          </w:rPr>
          <w:t>https://www.gov.uk/government/publications/teaching-excellence-and-student-outcomes-framework-specification</w:t>
        </w:r>
      </w:hyperlink>
      <w:r w:rsidR="008A2949" w:rsidRPr="0072068B">
        <w:rPr>
          <w:color w:val="00B0F0"/>
          <w:sz w:val="26"/>
          <w:szCs w:val="26"/>
        </w:rPr>
        <w:t xml:space="preserve"> </w:t>
      </w:r>
    </w:p>
    <w:sectPr w:rsidR="007B5EDE" w:rsidRPr="0072068B" w:rsidSect="009C1C29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C6B82" w14:textId="77777777" w:rsidR="002E58F2" w:rsidRDefault="002E58F2" w:rsidP="00A209B5">
      <w:pPr>
        <w:spacing w:after="0" w:line="240" w:lineRule="auto"/>
      </w:pPr>
      <w:r>
        <w:separator/>
      </w:r>
    </w:p>
  </w:endnote>
  <w:endnote w:type="continuationSeparator" w:id="0">
    <w:p w14:paraId="794240CF" w14:textId="77777777" w:rsidR="002E58F2" w:rsidRDefault="002E58F2" w:rsidP="00A2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081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A5A25" w14:textId="1724FF2A" w:rsidR="005B4200" w:rsidRDefault="005B42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83F13B" w14:textId="77777777" w:rsidR="005B4200" w:rsidRDefault="005B4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9F014" w14:textId="77777777" w:rsidR="007234F9" w:rsidRPr="00476DC6" w:rsidRDefault="007234F9" w:rsidP="007234F9">
    <w:pPr>
      <w:tabs>
        <w:tab w:val="center" w:pos="4153"/>
        <w:tab w:val="right" w:pos="8306"/>
      </w:tabs>
      <w:spacing w:after="0" w:line="192" w:lineRule="auto"/>
      <w:jc w:val="center"/>
      <w:rPr>
        <w:rFonts w:ascii="Cambria" w:eastAsia="Times New Roman" w:hAnsi="Cambria" w:cs="Times New Roman"/>
        <w:i/>
        <w:sz w:val="14"/>
        <w:szCs w:val="14"/>
      </w:rPr>
    </w:pPr>
    <w:r w:rsidRPr="00476DC6">
      <w:rPr>
        <w:rFonts w:ascii="Cambria" w:eastAsia="Times New Roman" w:hAnsi="Cambria" w:cs="Times New Roman"/>
        <w:i/>
        <w:sz w:val="14"/>
        <w:szCs w:val="14"/>
      </w:rPr>
      <w:t xml:space="preserve">----------------------- </w:t>
    </w:r>
    <w:hyperlink r:id="rId1" w:history="1">
      <w:r w:rsidRPr="00476DC6">
        <w:rPr>
          <w:rFonts w:ascii="Cambria" w:eastAsia="Times New Roman" w:hAnsi="Cambria" w:cs="Times New Roman"/>
          <w:i/>
          <w:color w:val="0000FF"/>
          <w:sz w:val="14"/>
          <w:szCs w:val="14"/>
          <w:u w:val="single"/>
          <w:lang w:val="en-US"/>
        </w:rPr>
        <w:t>www.eufunds.bg</w:t>
      </w:r>
    </w:hyperlink>
    <w:r w:rsidRPr="00476DC6">
      <w:rPr>
        <w:rFonts w:ascii="Cambria" w:eastAsia="Times New Roman" w:hAnsi="Cambria" w:cs="Times New Roman"/>
        <w:i/>
        <w:sz w:val="14"/>
        <w:szCs w:val="14"/>
        <w:lang w:val="en-US"/>
      </w:rPr>
      <w:t xml:space="preserve"> ----------------------</w:t>
    </w:r>
  </w:p>
  <w:p w14:paraId="455C165E" w14:textId="77777777" w:rsidR="007234F9" w:rsidRPr="00476DC6" w:rsidRDefault="007234F9" w:rsidP="007234F9">
    <w:pPr>
      <w:tabs>
        <w:tab w:val="center" w:pos="4153"/>
        <w:tab w:val="right" w:pos="8306"/>
      </w:tabs>
      <w:spacing w:after="0" w:line="192" w:lineRule="auto"/>
      <w:rPr>
        <w:rFonts w:ascii="Cambria" w:eastAsia="Times New Roman" w:hAnsi="Cambria" w:cs="Times New Roman"/>
        <w:i/>
        <w:sz w:val="14"/>
        <w:szCs w:val="14"/>
      </w:rPr>
    </w:pPr>
  </w:p>
  <w:p w14:paraId="78D2EB96" w14:textId="77777777" w:rsidR="007234F9" w:rsidRPr="00476DC6" w:rsidRDefault="007234F9" w:rsidP="007234F9">
    <w:pPr>
      <w:tabs>
        <w:tab w:val="center" w:pos="4153"/>
        <w:tab w:val="right" w:pos="8306"/>
      </w:tabs>
      <w:spacing w:after="0" w:line="192" w:lineRule="auto"/>
      <w:jc w:val="center"/>
      <w:rPr>
        <w:rFonts w:ascii="Cambria" w:eastAsia="Times New Roman" w:hAnsi="Cambria" w:cs="Times New Roman"/>
        <w:i/>
        <w:sz w:val="18"/>
        <w:szCs w:val="18"/>
      </w:rPr>
    </w:pPr>
    <w:r w:rsidRPr="00476DC6">
      <w:rPr>
        <w:rFonts w:ascii="Cambria" w:eastAsia="Times New Roman" w:hAnsi="Cambria" w:cs="Times New Roman"/>
        <w:i/>
        <w:sz w:val="18"/>
        <w:szCs w:val="18"/>
      </w:rPr>
      <w:t xml:space="preserve">Проектът се финансира в рамките на договор за БФП № BG05SFOP001-2.009-0036–C01/21.12.2018 г. „Усъвършенстване на механизма за гражданско участие при формулирането и провеждането на политиката  в областта на висшето образование в България“ на Сдружение ЦИА, финансиран от Оперативна програма  </w:t>
    </w:r>
  </w:p>
  <w:p w14:paraId="4EA4D8B8" w14:textId="77777777" w:rsidR="007234F9" w:rsidRPr="00476DC6" w:rsidRDefault="007234F9" w:rsidP="007234F9">
    <w:pPr>
      <w:tabs>
        <w:tab w:val="center" w:pos="4153"/>
        <w:tab w:val="right" w:pos="8306"/>
      </w:tabs>
      <w:spacing w:after="0" w:line="192" w:lineRule="auto"/>
      <w:jc w:val="center"/>
      <w:rPr>
        <w:rFonts w:ascii="Cambria" w:eastAsia="Times New Roman" w:hAnsi="Cambria" w:cs="Times New Roman"/>
        <w:i/>
        <w:sz w:val="14"/>
        <w:szCs w:val="14"/>
        <w:lang w:val="en-US"/>
      </w:rPr>
    </w:pPr>
    <w:r w:rsidRPr="00476DC6">
      <w:rPr>
        <w:rFonts w:ascii="Cambria" w:eastAsia="Times New Roman" w:hAnsi="Cambria" w:cs="Times New Roman"/>
        <w:i/>
        <w:sz w:val="18"/>
        <w:szCs w:val="18"/>
      </w:rPr>
      <w:t xml:space="preserve">  „Добро управление“, съфинансирана от Европейския съюз чрез Европейския социален фонд</w:t>
    </w:r>
  </w:p>
  <w:p w14:paraId="251AF52B" w14:textId="77777777" w:rsidR="007234F9" w:rsidRDefault="00723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C4454" w14:textId="77777777" w:rsidR="002E58F2" w:rsidRDefault="002E58F2" w:rsidP="00A209B5">
      <w:pPr>
        <w:spacing w:after="0" w:line="240" w:lineRule="auto"/>
      </w:pPr>
      <w:r>
        <w:separator/>
      </w:r>
    </w:p>
  </w:footnote>
  <w:footnote w:type="continuationSeparator" w:id="0">
    <w:p w14:paraId="247CA4DB" w14:textId="77777777" w:rsidR="002E58F2" w:rsidRDefault="002E58F2" w:rsidP="00A2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BDDFB" w14:textId="77777777" w:rsidR="00A209B5" w:rsidRDefault="00A209B5" w:rsidP="00A209B5">
    <w:pPr>
      <w:pStyle w:val="Header"/>
      <w:tabs>
        <w:tab w:val="clear" w:pos="4536"/>
        <w:tab w:val="clear" w:pos="9072"/>
        <w:tab w:val="left" w:pos="1620"/>
      </w:tabs>
    </w:pPr>
  </w:p>
  <w:p w14:paraId="4E0FCC16" w14:textId="77777777" w:rsidR="00A209B5" w:rsidRDefault="00A20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957FA" w14:textId="77777777" w:rsidR="007234F9" w:rsidRDefault="007234F9">
    <w:pPr>
      <w:pStyle w:val="Header"/>
    </w:pPr>
    <w:r w:rsidRPr="007234F9">
      <w:rPr>
        <w:noProof/>
        <w:lang w:eastAsia="bg-BG"/>
      </w:rPr>
      <w:drawing>
        <wp:inline distT="0" distB="0" distL="0" distR="0" wp14:anchorId="182E57A1" wp14:editId="44E47FBF">
          <wp:extent cx="6120130" cy="1284722"/>
          <wp:effectExtent l="1905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84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5591"/>
    <w:multiLevelType w:val="hybridMultilevel"/>
    <w:tmpl w:val="05E209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1CDB"/>
    <w:multiLevelType w:val="hybridMultilevel"/>
    <w:tmpl w:val="1C240EC0"/>
    <w:lvl w:ilvl="0" w:tplc="8DEE5592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B4627"/>
    <w:multiLevelType w:val="hybridMultilevel"/>
    <w:tmpl w:val="1916E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94617"/>
    <w:multiLevelType w:val="hybridMultilevel"/>
    <w:tmpl w:val="35568CA6"/>
    <w:lvl w:ilvl="0" w:tplc="EA74E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E7423"/>
    <w:multiLevelType w:val="hybridMultilevel"/>
    <w:tmpl w:val="0898F7C6"/>
    <w:lvl w:ilvl="0" w:tplc="D292C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12C31"/>
    <w:multiLevelType w:val="hybridMultilevel"/>
    <w:tmpl w:val="38AED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1216D"/>
    <w:multiLevelType w:val="hybridMultilevel"/>
    <w:tmpl w:val="2F7870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04D2E"/>
    <w:multiLevelType w:val="hybridMultilevel"/>
    <w:tmpl w:val="38209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612"/>
    <w:rsid w:val="000122FD"/>
    <w:rsid w:val="00041DC5"/>
    <w:rsid w:val="000443BC"/>
    <w:rsid w:val="00064F1B"/>
    <w:rsid w:val="000C01F5"/>
    <w:rsid w:val="000D5996"/>
    <w:rsid w:val="000D791E"/>
    <w:rsid w:val="00170627"/>
    <w:rsid w:val="00176237"/>
    <w:rsid w:val="001A6F81"/>
    <w:rsid w:val="001D3952"/>
    <w:rsid w:val="002061F5"/>
    <w:rsid w:val="0024165B"/>
    <w:rsid w:val="002979AB"/>
    <w:rsid w:val="002E58F2"/>
    <w:rsid w:val="002F6AB6"/>
    <w:rsid w:val="00322096"/>
    <w:rsid w:val="00340CFD"/>
    <w:rsid w:val="003437CE"/>
    <w:rsid w:val="00373307"/>
    <w:rsid w:val="0039532A"/>
    <w:rsid w:val="00455BE1"/>
    <w:rsid w:val="00481ADC"/>
    <w:rsid w:val="004C4B4A"/>
    <w:rsid w:val="004D382A"/>
    <w:rsid w:val="004F00A1"/>
    <w:rsid w:val="005035EA"/>
    <w:rsid w:val="00534BBE"/>
    <w:rsid w:val="00546DD9"/>
    <w:rsid w:val="00561B4D"/>
    <w:rsid w:val="0057163D"/>
    <w:rsid w:val="005B4200"/>
    <w:rsid w:val="005B5CA9"/>
    <w:rsid w:val="005C5514"/>
    <w:rsid w:val="005E055A"/>
    <w:rsid w:val="005E581F"/>
    <w:rsid w:val="00614F63"/>
    <w:rsid w:val="00626677"/>
    <w:rsid w:val="006A5AB2"/>
    <w:rsid w:val="006C5124"/>
    <w:rsid w:val="006D4101"/>
    <w:rsid w:val="0072068B"/>
    <w:rsid w:val="007234F9"/>
    <w:rsid w:val="00752504"/>
    <w:rsid w:val="00792AEF"/>
    <w:rsid w:val="007B3AC8"/>
    <w:rsid w:val="007B4710"/>
    <w:rsid w:val="007B5EDE"/>
    <w:rsid w:val="007F0352"/>
    <w:rsid w:val="00801A8E"/>
    <w:rsid w:val="00857421"/>
    <w:rsid w:val="008667D9"/>
    <w:rsid w:val="008A2949"/>
    <w:rsid w:val="008D3890"/>
    <w:rsid w:val="00900EF4"/>
    <w:rsid w:val="00921612"/>
    <w:rsid w:val="00935BC6"/>
    <w:rsid w:val="009408B2"/>
    <w:rsid w:val="00994E57"/>
    <w:rsid w:val="009A185A"/>
    <w:rsid w:val="009C1C29"/>
    <w:rsid w:val="00A209B5"/>
    <w:rsid w:val="00A71F04"/>
    <w:rsid w:val="00A72305"/>
    <w:rsid w:val="00AD3A71"/>
    <w:rsid w:val="00B0746E"/>
    <w:rsid w:val="00B13DDE"/>
    <w:rsid w:val="00B34CE9"/>
    <w:rsid w:val="00B46CCA"/>
    <w:rsid w:val="00B744C8"/>
    <w:rsid w:val="00BA03D2"/>
    <w:rsid w:val="00BA4E6C"/>
    <w:rsid w:val="00BD2FF4"/>
    <w:rsid w:val="00BF632A"/>
    <w:rsid w:val="00C335D0"/>
    <w:rsid w:val="00C42588"/>
    <w:rsid w:val="00C70B98"/>
    <w:rsid w:val="00CC1C9E"/>
    <w:rsid w:val="00CD3734"/>
    <w:rsid w:val="00CF0CDD"/>
    <w:rsid w:val="00D25F98"/>
    <w:rsid w:val="00E15A9C"/>
    <w:rsid w:val="00E56DBF"/>
    <w:rsid w:val="00E80F48"/>
    <w:rsid w:val="00EC3928"/>
    <w:rsid w:val="00EE1271"/>
    <w:rsid w:val="00F27291"/>
    <w:rsid w:val="00F769B7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AF51"/>
  <w15:docId w15:val="{0A41059E-9F75-43DF-8876-EE3D1C3D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91E"/>
    <w:rPr>
      <w:sz w:val="25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E57"/>
    <w:pPr>
      <w:keepNext/>
      <w:spacing w:before="240" w:after="60" w:line="240" w:lineRule="auto"/>
      <w:ind w:left="709" w:hanging="709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4E57"/>
    <w:pPr>
      <w:keepNext/>
      <w:spacing w:before="240" w:after="60" w:line="240" w:lineRule="auto"/>
      <w:ind w:left="709" w:hanging="709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6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0CD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4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E5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94E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94E57"/>
    <w:rPr>
      <w:rFonts w:ascii="Calibri" w:eastAsia="Times New Roman" w:hAnsi="Calibri" w:cs="Times New Roman"/>
      <w:b/>
      <w:bCs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4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4E57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rsid w:val="00994E57"/>
    <w:pPr>
      <w:spacing w:after="12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94E57"/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B5ED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1A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746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9B5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A2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9B5"/>
    <w:rPr>
      <w:sz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F00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D37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D3734"/>
    <w:pPr>
      <w:spacing w:before="240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D373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CD3734"/>
    <w:pPr>
      <w:spacing w:after="100"/>
      <w:ind w:left="500"/>
    </w:pPr>
  </w:style>
  <w:style w:type="paragraph" w:styleId="NoSpacing">
    <w:name w:val="No Spacing"/>
    <w:uiPriority w:val="1"/>
    <w:qFormat/>
    <w:rsid w:val="00CD3734"/>
    <w:pPr>
      <w:spacing w:after="0" w:line="240" w:lineRule="auto"/>
    </w:pPr>
    <w:rPr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1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gredemark@uuinnovation.uu.se" TargetMode="External"/><Relationship Id="rId13" Type="http://schemas.openxmlformats.org/officeDocument/2006/relationships/hyperlink" Target="http://www.meath.ie/" TargetMode="External"/><Relationship Id="rId18" Type="http://schemas.openxmlformats.org/officeDocument/2006/relationships/hyperlink" Target="https://heinnovate.eu/resource/entrepre-neurship-development-university-twente" TargetMode="External"/><Relationship Id="rId26" Type="http://schemas.openxmlformats.org/officeDocument/2006/relationships/hyperlink" Target="https://www.gov.uk/government/publications/teaching-excellence-and-student-outcomes-framework-specification%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onau-uni.ac.at/e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ocalenterprise.ie/Louth/" TargetMode="External"/><Relationship Id="rId17" Type="http://schemas.openxmlformats.org/officeDocument/2006/relationships/hyperlink" Target="https://kennispark.nl/nl/" TargetMode="External"/><Relationship Id="rId25" Type="http://schemas.openxmlformats.org/officeDocument/2006/relationships/hyperlink" Target="https://assets.publishing.service.gov.uk/government/uploads/system/uploads/attachment_data/file/658490/Teaching_Excellence_and_Student_Outcomes_Framework_Specificatio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twente.nl/en/" TargetMode="External"/><Relationship Id="rId20" Type="http://schemas.openxmlformats.org/officeDocument/2006/relationships/hyperlink" Target="https://www.vinnova.se/en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ploymentalliance.eu" TargetMode="External"/><Relationship Id="rId24" Type="http://schemas.openxmlformats.org/officeDocument/2006/relationships/hyperlink" Target="https://www.cut.ac.cy/research/international-collaboration-partnerships/enterprise-liaison-office/?languageId=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aniceconsulting.com/" TargetMode="External"/><Relationship Id="rId23" Type="http://schemas.openxmlformats.org/officeDocument/2006/relationships/hyperlink" Target="https://www.croatia.rit.edu/co-op-contact/" TargetMode="External"/><Relationship Id="rId28" Type="http://schemas.openxmlformats.org/officeDocument/2006/relationships/footer" Target="footer1.xml"/><Relationship Id="rId10" Type="http://schemas.openxmlformats.org/officeDocument/2006/relationships/hyperlink" Target="mailto:tourismexam@abv.bg" TargetMode="External"/><Relationship Id="rId19" Type="http://schemas.openxmlformats.org/officeDocument/2006/relationships/hyperlink" Target="file:///C:\Users\borya\AppData\Local\Microsoft\Windows\INetCache\Content.Outlook\UQ6VNWJB\k.eijkel@kennispark.n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ft-plovdiv.bg/" TargetMode="External"/><Relationship Id="rId14" Type="http://schemas.openxmlformats.org/officeDocument/2006/relationships/hyperlink" Target="http://www.pearltrees.com/mindshare2000" TargetMode="External"/><Relationship Id="rId22" Type="http://schemas.openxmlformats.org/officeDocument/2006/relationships/hyperlink" Target="https://www.mci.edu/de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8A3C6-FFEB-41A0-AA5C-C1F025C8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</dc:creator>
  <cp:lastModifiedBy>Boryana </cp:lastModifiedBy>
  <cp:revision>5</cp:revision>
  <cp:lastPrinted>2019-12-12T18:19:00Z</cp:lastPrinted>
  <dcterms:created xsi:type="dcterms:W3CDTF">2019-12-09T15:10:00Z</dcterms:created>
  <dcterms:modified xsi:type="dcterms:W3CDTF">2019-12-12T18:20:00Z</dcterms:modified>
</cp:coreProperties>
</file>